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4A7A" w14:textId="77777777" w:rsidR="00B3254B" w:rsidRDefault="00B3254B" w:rsidP="00B3254B">
      <w:pPr>
        <w:spacing w:after="0"/>
        <w:rPr>
          <w:rFonts w:ascii="Times New Roman" w:hAnsi="Times New Roman" w:cs="Times New Roman"/>
          <w:b/>
          <w:bCs/>
        </w:rPr>
      </w:pPr>
    </w:p>
    <w:p w14:paraId="77DACE95" w14:textId="7AA3AA97" w:rsidR="0060733D" w:rsidRPr="00EA1AAB" w:rsidRDefault="0060733D" w:rsidP="00D10098">
      <w:pPr>
        <w:rPr>
          <w:rFonts w:ascii="Times New Roman" w:hAnsi="Times New Roman" w:cs="Times New Roman"/>
          <w:b/>
          <w:bCs/>
        </w:rPr>
      </w:pPr>
      <w:r w:rsidRPr="00EA1AAB">
        <w:rPr>
          <w:rFonts w:ascii="Times New Roman" w:hAnsi="Times New Roman" w:cs="Times New Roman"/>
          <w:b/>
          <w:bCs/>
        </w:rPr>
        <w:t xml:space="preserve">INTRODUCTION: </w:t>
      </w:r>
    </w:p>
    <w:p w14:paraId="794AB3F7" w14:textId="00E56F4D" w:rsidR="00D10098" w:rsidRPr="00EA1AAB" w:rsidRDefault="000C0298" w:rsidP="00D10098">
      <w:pPr>
        <w:rPr>
          <w:rFonts w:ascii="Times New Roman" w:hAnsi="Times New Roman" w:cs="Times New Roman"/>
        </w:rPr>
      </w:pPr>
      <w:r w:rsidRPr="000C0298">
        <w:rPr>
          <w:rFonts w:ascii="Times New Roman" w:hAnsi="Times New Roman" w:cs="Times New Roman"/>
        </w:rPr>
        <w:t>Food processing and packaging facilities serve as a critical link in the supply chain, transforming raw ingredients into finished products for consumers. Maintaining a safe food environment requires more than a cleaned and sanitized facility; it also requires a structured zoning system to help prevent the introduction and spread of pathogens and to complement sanitation programs. Because many food products are ready-to-eat (RTE) or involve complex handling, preventing cross-contamination during processing is essential. Hygienic zoning is a strategic preventive control that involves dividing a facility into distinct areas based on food safety risk and the level of hygiene required</w:t>
      </w:r>
      <w:r w:rsidR="00D10098" w:rsidRPr="00EA1AAB">
        <w:rPr>
          <w:rFonts w:ascii="Times New Roman" w:hAnsi="Times New Roman" w:cs="Times New Roman"/>
        </w:rPr>
        <w:t>.</w:t>
      </w:r>
    </w:p>
    <w:p w14:paraId="41E7126D" w14:textId="77777777" w:rsidR="00D10098" w:rsidRPr="00EA1AAB" w:rsidRDefault="00D10098" w:rsidP="00D10098">
      <w:pPr>
        <w:rPr>
          <w:rFonts w:ascii="Times New Roman" w:hAnsi="Times New Roman" w:cs="Times New Roman"/>
          <w:b/>
          <w:bCs/>
        </w:rPr>
      </w:pPr>
      <w:r w:rsidRPr="00EA1AAB">
        <w:rPr>
          <w:rFonts w:ascii="Times New Roman" w:hAnsi="Times New Roman" w:cs="Times New Roman"/>
          <w:b/>
          <w:bCs/>
        </w:rPr>
        <w:t>1. The Foundations of Hygienic Zoning</w:t>
      </w:r>
    </w:p>
    <w:p w14:paraId="1D5E38E5" w14:textId="77777777" w:rsidR="0077548C" w:rsidRDefault="0077548C" w:rsidP="00D10098">
      <w:pPr>
        <w:rPr>
          <w:rFonts w:ascii="Times New Roman" w:hAnsi="Times New Roman" w:cs="Times New Roman"/>
        </w:rPr>
      </w:pPr>
      <w:r w:rsidRPr="0077548C">
        <w:rPr>
          <w:rFonts w:ascii="Times New Roman" w:hAnsi="Times New Roman" w:cs="Times New Roman"/>
        </w:rPr>
        <w:t xml:space="preserve">Hygienic zoning is the practice of dividing a processing facility into specific areas based on the level of risk they pose to the final product. By treating different sections of the operation as distinct “biological islands,” processors can help prevent cross-contamination, or the transfer of harmful microorganisms, from areas with a greater potential for contamination, such as receiving docks or raw ingredient storage, into higher hygiene or product-sensitive areas, such as primary packaging lines. </w:t>
      </w:r>
    </w:p>
    <w:p w14:paraId="0E23D277" w14:textId="762FA873" w:rsidR="00D10098" w:rsidRPr="00EA1AAB" w:rsidRDefault="0077548C" w:rsidP="00D10098">
      <w:pPr>
        <w:rPr>
          <w:rFonts w:ascii="Times New Roman" w:hAnsi="Times New Roman" w:cs="Times New Roman"/>
        </w:rPr>
      </w:pPr>
      <w:r w:rsidRPr="0077548C">
        <w:rPr>
          <w:rFonts w:ascii="Times New Roman" w:hAnsi="Times New Roman" w:cs="Times New Roman"/>
        </w:rPr>
        <w:t xml:space="preserve">The goal is to establish containment areas that limit the movement of pathogens, such as </w:t>
      </w:r>
      <w:r w:rsidRPr="0077548C">
        <w:rPr>
          <w:rFonts w:ascii="Times New Roman" w:hAnsi="Times New Roman" w:cs="Times New Roman"/>
          <w:i/>
          <w:iCs/>
        </w:rPr>
        <w:t>Listeria monocytogenes</w:t>
      </w:r>
      <w:r w:rsidRPr="0077548C">
        <w:rPr>
          <w:rFonts w:ascii="Times New Roman" w:hAnsi="Times New Roman" w:cs="Times New Roman"/>
        </w:rPr>
        <w:t xml:space="preserve"> or </w:t>
      </w:r>
      <w:r w:rsidRPr="0077548C">
        <w:rPr>
          <w:rFonts w:ascii="Times New Roman" w:hAnsi="Times New Roman" w:cs="Times New Roman"/>
          <w:i/>
          <w:iCs/>
        </w:rPr>
        <w:t>Salmonella</w:t>
      </w:r>
      <w:r w:rsidRPr="0077548C">
        <w:rPr>
          <w:rFonts w:ascii="Times New Roman" w:hAnsi="Times New Roman" w:cs="Times New Roman"/>
        </w:rPr>
        <w:t>, from less controlled areas to more controlled areas. Hygienic zoning is typically categorized into four distinct levels</w:t>
      </w:r>
      <w:r w:rsidR="00D10098" w:rsidRPr="00EA1AAB">
        <w:rPr>
          <w:rFonts w:ascii="Times New Roman" w:hAnsi="Times New Roman" w:cs="Times New Roman"/>
        </w:rPr>
        <w:t>:</w:t>
      </w:r>
    </w:p>
    <w:tbl>
      <w:tblPr>
        <w:tblStyle w:val="TableGrid"/>
        <w:tblW w:w="0" w:type="auto"/>
        <w:tblLook w:val="04A0" w:firstRow="1" w:lastRow="0" w:firstColumn="1" w:lastColumn="0" w:noHBand="0" w:noVBand="1"/>
      </w:tblPr>
      <w:tblGrid>
        <w:gridCol w:w="985"/>
        <w:gridCol w:w="4590"/>
        <w:gridCol w:w="3775"/>
      </w:tblGrid>
      <w:tr w:rsidR="009A7C93" w:rsidRPr="00EA1AAB" w14:paraId="5AC06D74" w14:textId="77777777" w:rsidTr="00066F73">
        <w:tc>
          <w:tcPr>
            <w:tcW w:w="985" w:type="dxa"/>
            <w:vAlign w:val="center"/>
          </w:tcPr>
          <w:p w14:paraId="52782943" w14:textId="368CCF4F" w:rsidR="009A7C93" w:rsidRPr="00EA1AAB" w:rsidRDefault="009A7C93" w:rsidP="00066F73">
            <w:pPr>
              <w:rPr>
                <w:rFonts w:ascii="Times New Roman" w:hAnsi="Times New Roman" w:cs="Times New Roman"/>
              </w:rPr>
            </w:pPr>
            <w:r w:rsidRPr="00EA1AAB">
              <w:rPr>
                <w:rFonts w:ascii="Times New Roman" w:hAnsi="Times New Roman" w:cs="Times New Roman"/>
                <w:b/>
                <w:bCs/>
              </w:rPr>
              <w:t>Zone</w:t>
            </w:r>
          </w:p>
        </w:tc>
        <w:tc>
          <w:tcPr>
            <w:tcW w:w="4590" w:type="dxa"/>
            <w:vAlign w:val="center"/>
          </w:tcPr>
          <w:p w14:paraId="66D3DCBC" w14:textId="52F9E915" w:rsidR="009A7C93" w:rsidRPr="00EA1AAB" w:rsidRDefault="009A7C93" w:rsidP="00066F73">
            <w:pPr>
              <w:rPr>
                <w:rFonts w:ascii="Times New Roman" w:hAnsi="Times New Roman" w:cs="Times New Roman"/>
              </w:rPr>
            </w:pPr>
            <w:r w:rsidRPr="00EA1AAB">
              <w:rPr>
                <w:rFonts w:ascii="Times New Roman" w:hAnsi="Times New Roman" w:cs="Times New Roman"/>
                <w:b/>
                <w:bCs/>
              </w:rPr>
              <w:t>Description</w:t>
            </w:r>
          </w:p>
        </w:tc>
        <w:tc>
          <w:tcPr>
            <w:tcW w:w="3775" w:type="dxa"/>
            <w:vAlign w:val="center"/>
          </w:tcPr>
          <w:p w14:paraId="68C7F9A0" w14:textId="586FAD3C" w:rsidR="009A7C93" w:rsidRPr="00EA1AAB" w:rsidRDefault="009A7C93" w:rsidP="00066F73">
            <w:pPr>
              <w:rPr>
                <w:rFonts w:ascii="Times New Roman" w:hAnsi="Times New Roman" w:cs="Times New Roman"/>
              </w:rPr>
            </w:pPr>
            <w:r w:rsidRPr="00EA1AAB">
              <w:rPr>
                <w:rFonts w:ascii="Times New Roman" w:hAnsi="Times New Roman" w:cs="Times New Roman"/>
                <w:b/>
                <w:bCs/>
              </w:rPr>
              <w:t>Examples</w:t>
            </w:r>
          </w:p>
        </w:tc>
      </w:tr>
      <w:tr w:rsidR="009A7C93" w:rsidRPr="00EA1AAB" w14:paraId="7304F60C" w14:textId="77777777" w:rsidTr="00066F73">
        <w:tc>
          <w:tcPr>
            <w:tcW w:w="985" w:type="dxa"/>
            <w:vAlign w:val="center"/>
          </w:tcPr>
          <w:p w14:paraId="2333DE6C" w14:textId="60A5A592" w:rsidR="009A7C93" w:rsidRPr="00EA1AAB" w:rsidRDefault="009A7C93" w:rsidP="00066F73">
            <w:pPr>
              <w:rPr>
                <w:rFonts w:ascii="Times New Roman" w:hAnsi="Times New Roman" w:cs="Times New Roman"/>
              </w:rPr>
            </w:pPr>
            <w:r w:rsidRPr="00EA1AAB">
              <w:rPr>
                <w:rFonts w:ascii="Times New Roman" w:hAnsi="Times New Roman" w:cs="Times New Roman"/>
                <w:b/>
                <w:bCs/>
              </w:rPr>
              <w:t>Zone 1</w:t>
            </w:r>
          </w:p>
        </w:tc>
        <w:tc>
          <w:tcPr>
            <w:tcW w:w="4590" w:type="dxa"/>
            <w:vAlign w:val="center"/>
          </w:tcPr>
          <w:p w14:paraId="17E8A290" w14:textId="306C7874" w:rsidR="009A7C93" w:rsidRPr="00EA1AAB" w:rsidRDefault="009A7C93" w:rsidP="00066F73">
            <w:pPr>
              <w:rPr>
                <w:rFonts w:ascii="Times New Roman" w:hAnsi="Times New Roman" w:cs="Times New Roman"/>
              </w:rPr>
            </w:pPr>
            <w:r w:rsidRPr="00EA1AAB">
              <w:rPr>
                <w:rFonts w:ascii="Times New Roman" w:hAnsi="Times New Roman" w:cs="Times New Roman"/>
                <w:b/>
                <w:bCs/>
              </w:rPr>
              <w:t>Direct Food Contact Surfaces.</w:t>
            </w:r>
            <w:r w:rsidRPr="00EA1AAB">
              <w:rPr>
                <w:rFonts w:ascii="Times New Roman" w:hAnsi="Times New Roman" w:cs="Times New Roman"/>
              </w:rPr>
              <w:t xml:space="preserve"> High-</w:t>
            </w:r>
            <w:r w:rsidR="00483A8F">
              <w:rPr>
                <w:rFonts w:ascii="Times New Roman" w:hAnsi="Times New Roman" w:cs="Times New Roman"/>
              </w:rPr>
              <w:t>hygiene</w:t>
            </w:r>
            <w:r w:rsidRPr="00EA1AAB">
              <w:rPr>
                <w:rFonts w:ascii="Times New Roman" w:hAnsi="Times New Roman" w:cs="Times New Roman"/>
              </w:rPr>
              <w:t xml:space="preserve"> areas where the product touches equipment.</w:t>
            </w:r>
          </w:p>
        </w:tc>
        <w:tc>
          <w:tcPr>
            <w:tcW w:w="3775" w:type="dxa"/>
            <w:vAlign w:val="center"/>
          </w:tcPr>
          <w:p w14:paraId="52B1332C" w14:textId="65E33582" w:rsidR="009A7C93" w:rsidRPr="00EA1AAB" w:rsidRDefault="009A7C93" w:rsidP="00066F73">
            <w:pPr>
              <w:rPr>
                <w:rFonts w:ascii="Times New Roman" w:hAnsi="Times New Roman" w:cs="Times New Roman"/>
              </w:rPr>
            </w:pPr>
            <w:r w:rsidRPr="00EA1AAB">
              <w:rPr>
                <w:rFonts w:ascii="Times New Roman" w:hAnsi="Times New Roman" w:cs="Times New Roman"/>
              </w:rPr>
              <w:t xml:space="preserve">Slicers, fillers, conveyors, mixing vats, utensils, </w:t>
            </w:r>
            <w:r w:rsidR="006C328E" w:rsidRPr="00EA1AAB">
              <w:rPr>
                <w:rFonts w:ascii="Times New Roman" w:hAnsi="Times New Roman" w:cs="Times New Roman"/>
              </w:rPr>
              <w:t>worktables</w:t>
            </w:r>
            <w:r w:rsidRPr="00EA1AAB">
              <w:rPr>
                <w:rFonts w:ascii="Times New Roman" w:hAnsi="Times New Roman" w:cs="Times New Roman"/>
              </w:rPr>
              <w:t>.</w:t>
            </w:r>
          </w:p>
        </w:tc>
      </w:tr>
      <w:tr w:rsidR="009A7C93" w:rsidRPr="00EA1AAB" w14:paraId="4C67A132" w14:textId="77777777" w:rsidTr="00066F73">
        <w:tc>
          <w:tcPr>
            <w:tcW w:w="985" w:type="dxa"/>
            <w:vAlign w:val="center"/>
          </w:tcPr>
          <w:p w14:paraId="20602D1D" w14:textId="2C5F6470" w:rsidR="009A7C93" w:rsidRPr="00EA1AAB" w:rsidRDefault="009A7C93" w:rsidP="00066F73">
            <w:pPr>
              <w:rPr>
                <w:rFonts w:ascii="Times New Roman" w:hAnsi="Times New Roman" w:cs="Times New Roman"/>
              </w:rPr>
            </w:pPr>
            <w:r w:rsidRPr="00EA1AAB">
              <w:rPr>
                <w:rFonts w:ascii="Times New Roman" w:hAnsi="Times New Roman" w:cs="Times New Roman"/>
                <w:b/>
                <w:bCs/>
              </w:rPr>
              <w:t>Zone 2</w:t>
            </w:r>
          </w:p>
        </w:tc>
        <w:tc>
          <w:tcPr>
            <w:tcW w:w="4590" w:type="dxa"/>
            <w:vAlign w:val="center"/>
          </w:tcPr>
          <w:p w14:paraId="24AF63AA" w14:textId="629CF015" w:rsidR="009A7C93" w:rsidRPr="00EA1AAB" w:rsidRDefault="009A7C93" w:rsidP="00066F73">
            <w:pPr>
              <w:rPr>
                <w:rFonts w:ascii="Times New Roman" w:hAnsi="Times New Roman" w:cs="Times New Roman"/>
              </w:rPr>
            </w:pPr>
            <w:r w:rsidRPr="00EA1AAB">
              <w:rPr>
                <w:rFonts w:ascii="Times New Roman" w:hAnsi="Times New Roman" w:cs="Times New Roman"/>
                <w:b/>
                <w:bCs/>
              </w:rPr>
              <w:t>Non-food Contact Surfaces.</w:t>
            </w:r>
            <w:r w:rsidRPr="00EA1AAB">
              <w:rPr>
                <w:rFonts w:ascii="Times New Roman" w:hAnsi="Times New Roman" w:cs="Times New Roman"/>
              </w:rPr>
              <w:t xml:space="preserve"> Areas in close proximity to the product.</w:t>
            </w:r>
          </w:p>
        </w:tc>
        <w:tc>
          <w:tcPr>
            <w:tcW w:w="3775" w:type="dxa"/>
            <w:vAlign w:val="center"/>
          </w:tcPr>
          <w:p w14:paraId="778F3816" w14:textId="39B335D6" w:rsidR="009A7C93" w:rsidRPr="00EA1AAB" w:rsidRDefault="009A7C93" w:rsidP="00066F73">
            <w:pPr>
              <w:rPr>
                <w:rFonts w:ascii="Times New Roman" w:hAnsi="Times New Roman" w:cs="Times New Roman"/>
              </w:rPr>
            </w:pPr>
            <w:r w:rsidRPr="00EA1AAB">
              <w:rPr>
                <w:rFonts w:ascii="Times New Roman" w:hAnsi="Times New Roman" w:cs="Times New Roman"/>
              </w:rPr>
              <w:t>Equipment frames, exterior of housings, drip pans, control panels.</w:t>
            </w:r>
          </w:p>
        </w:tc>
      </w:tr>
      <w:tr w:rsidR="009A7C93" w:rsidRPr="00EA1AAB" w14:paraId="7D6C22F5" w14:textId="77777777" w:rsidTr="00066F73">
        <w:tc>
          <w:tcPr>
            <w:tcW w:w="985" w:type="dxa"/>
            <w:vAlign w:val="center"/>
          </w:tcPr>
          <w:p w14:paraId="3E9FE916" w14:textId="2B253546" w:rsidR="009A7C93" w:rsidRPr="00EA1AAB" w:rsidRDefault="009A7C93" w:rsidP="00066F73">
            <w:pPr>
              <w:rPr>
                <w:rFonts w:ascii="Times New Roman" w:hAnsi="Times New Roman" w:cs="Times New Roman"/>
              </w:rPr>
            </w:pPr>
            <w:r w:rsidRPr="00EA1AAB">
              <w:rPr>
                <w:rFonts w:ascii="Times New Roman" w:hAnsi="Times New Roman" w:cs="Times New Roman"/>
                <w:b/>
                <w:bCs/>
              </w:rPr>
              <w:t>Zone 3</w:t>
            </w:r>
          </w:p>
        </w:tc>
        <w:tc>
          <w:tcPr>
            <w:tcW w:w="4590" w:type="dxa"/>
            <w:vAlign w:val="center"/>
          </w:tcPr>
          <w:p w14:paraId="17BDB661" w14:textId="3128BCD4" w:rsidR="009A7C93" w:rsidRPr="00EA1AAB" w:rsidRDefault="009A7C93" w:rsidP="00066F73">
            <w:pPr>
              <w:rPr>
                <w:rFonts w:ascii="Times New Roman" w:hAnsi="Times New Roman" w:cs="Times New Roman"/>
              </w:rPr>
            </w:pPr>
            <w:r w:rsidRPr="00EA1AAB">
              <w:rPr>
                <w:rFonts w:ascii="Times New Roman" w:hAnsi="Times New Roman" w:cs="Times New Roman"/>
                <w:b/>
                <w:bCs/>
              </w:rPr>
              <w:t>Adjacent Areas.</w:t>
            </w:r>
            <w:r w:rsidRPr="00EA1AAB">
              <w:rPr>
                <w:rFonts w:ascii="Times New Roman" w:hAnsi="Times New Roman" w:cs="Times New Roman"/>
              </w:rPr>
              <w:t xml:space="preserve"> </w:t>
            </w:r>
            <w:r w:rsidR="00DB11D0">
              <w:rPr>
                <w:rFonts w:ascii="Times New Roman" w:hAnsi="Times New Roman" w:cs="Times New Roman"/>
              </w:rPr>
              <w:t>Non-food contact surfaces a</w:t>
            </w:r>
            <w:r w:rsidRPr="00EA1AAB">
              <w:rPr>
                <w:rFonts w:ascii="Times New Roman" w:hAnsi="Times New Roman" w:cs="Times New Roman"/>
              </w:rPr>
              <w:t xml:space="preserve">reas </w:t>
            </w:r>
            <w:r w:rsidR="00532BC7">
              <w:rPr>
                <w:rFonts w:ascii="Times New Roman" w:hAnsi="Times New Roman" w:cs="Times New Roman"/>
              </w:rPr>
              <w:t>next</w:t>
            </w:r>
            <w:r w:rsidR="00DB11D0">
              <w:rPr>
                <w:rFonts w:ascii="Times New Roman" w:hAnsi="Times New Roman" w:cs="Times New Roman"/>
              </w:rPr>
              <w:t xml:space="preserve"> to</w:t>
            </w:r>
            <w:r w:rsidRPr="00EA1AAB">
              <w:rPr>
                <w:rFonts w:ascii="Times New Roman" w:hAnsi="Times New Roman" w:cs="Times New Roman"/>
              </w:rPr>
              <w:t xml:space="preserve"> </w:t>
            </w:r>
            <w:r w:rsidR="00DB11D0">
              <w:rPr>
                <w:rFonts w:ascii="Times New Roman" w:hAnsi="Times New Roman" w:cs="Times New Roman"/>
              </w:rPr>
              <w:t xml:space="preserve">zone </w:t>
            </w:r>
            <w:r w:rsidRPr="00EA1AAB">
              <w:rPr>
                <w:rFonts w:ascii="Times New Roman" w:hAnsi="Times New Roman" w:cs="Times New Roman"/>
              </w:rPr>
              <w:t>2.</w:t>
            </w:r>
          </w:p>
        </w:tc>
        <w:tc>
          <w:tcPr>
            <w:tcW w:w="3775" w:type="dxa"/>
            <w:vAlign w:val="center"/>
          </w:tcPr>
          <w:p w14:paraId="640A625B" w14:textId="4C018A2E" w:rsidR="009A7C93" w:rsidRPr="00EA1AAB" w:rsidRDefault="009A7C93" w:rsidP="00066F73">
            <w:pPr>
              <w:rPr>
                <w:rFonts w:ascii="Times New Roman" w:hAnsi="Times New Roman" w:cs="Times New Roman"/>
              </w:rPr>
            </w:pPr>
            <w:r w:rsidRPr="00EA1AAB">
              <w:rPr>
                <w:rFonts w:ascii="Times New Roman" w:hAnsi="Times New Roman" w:cs="Times New Roman"/>
              </w:rPr>
              <w:t>Floors, drains, walls, forklifts, overhead pipes, air handling units.</w:t>
            </w:r>
          </w:p>
        </w:tc>
      </w:tr>
      <w:tr w:rsidR="009A7C93" w:rsidRPr="00EA1AAB" w14:paraId="7BF766C4" w14:textId="77777777" w:rsidTr="00066F73">
        <w:tc>
          <w:tcPr>
            <w:tcW w:w="985" w:type="dxa"/>
            <w:vAlign w:val="center"/>
          </w:tcPr>
          <w:p w14:paraId="38861268" w14:textId="721EDA07" w:rsidR="009A7C93" w:rsidRPr="00EA1AAB" w:rsidRDefault="009A7C93" w:rsidP="00F12046">
            <w:pPr>
              <w:rPr>
                <w:rFonts w:ascii="Times New Roman" w:hAnsi="Times New Roman" w:cs="Times New Roman"/>
              </w:rPr>
            </w:pPr>
            <w:r w:rsidRPr="00EA1AAB">
              <w:rPr>
                <w:rFonts w:ascii="Times New Roman" w:hAnsi="Times New Roman" w:cs="Times New Roman"/>
                <w:b/>
                <w:bCs/>
              </w:rPr>
              <w:t>Zone 4</w:t>
            </w:r>
          </w:p>
        </w:tc>
        <w:tc>
          <w:tcPr>
            <w:tcW w:w="4590" w:type="dxa"/>
            <w:vAlign w:val="center"/>
          </w:tcPr>
          <w:p w14:paraId="0A7CEDEF" w14:textId="1D931BC3" w:rsidR="009A7C93" w:rsidRPr="00EA1AAB" w:rsidRDefault="009A7C93" w:rsidP="00F12046">
            <w:pPr>
              <w:rPr>
                <w:rFonts w:ascii="Times New Roman" w:hAnsi="Times New Roman" w:cs="Times New Roman"/>
              </w:rPr>
            </w:pPr>
            <w:r w:rsidRPr="00EA1AAB">
              <w:rPr>
                <w:rFonts w:ascii="Times New Roman" w:hAnsi="Times New Roman" w:cs="Times New Roman"/>
                <w:b/>
                <w:bCs/>
              </w:rPr>
              <w:t>Remote Areas.</w:t>
            </w:r>
            <w:r w:rsidRPr="00EA1AAB">
              <w:rPr>
                <w:rFonts w:ascii="Times New Roman" w:hAnsi="Times New Roman" w:cs="Times New Roman"/>
              </w:rPr>
              <w:t xml:space="preserve"> Areas outside the processing</w:t>
            </w:r>
            <w:r w:rsidR="00463DE6">
              <w:rPr>
                <w:rFonts w:ascii="Times New Roman" w:hAnsi="Times New Roman" w:cs="Times New Roman"/>
              </w:rPr>
              <w:t xml:space="preserve"> and packaging</w:t>
            </w:r>
            <w:r w:rsidRPr="00EA1AAB">
              <w:rPr>
                <w:rFonts w:ascii="Times New Roman" w:hAnsi="Times New Roman" w:cs="Times New Roman"/>
              </w:rPr>
              <w:t xml:space="preserve"> environment.</w:t>
            </w:r>
          </w:p>
        </w:tc>
        <w:tc>
          <w:tcPr>
            <w:tcW w:w="3775" w:type="dxa"/>
            <w:vAlign w:val="center"/>
          </w:tcPr>
          <w:p w14:paraId="75C0AE9B" w14:textId="0C1FF82C" w:rsidR="009A7C93" w:rsidRPr="00EA1AAB" w:rsidRDefault="009A7C93" w:rsidP="00066F73">
            <w:pPr>
              <w:rPr>
                <w:rFonts w:ascii="Times New Roman" w:hAnsi="Times New Roman" w:cs="Times New Roman"/>
              </w:rPr>
            </w:pPr>
            <w:r w:rsidRPr="00EA1AAB">
              <w:rPr>
                <w:rFonts w:ascii="Times New Roman" w:hAnsi="Times New Roman" w:cs="Times New Roman"/>
              </w:rPr>
              <w:t>Loading docks, breakrooms, maintenance shops, offices, restrooms.</w:t>
            </w:r>
          </w:p>
        </w:tc>
      </w:tr>
    </w:tbl>
    <w:p w14:paraId="35A7755F" w14:textId="77777777" w:rsidR="000F1F95" w:rsidRPr="00EA1AAB" w:rsidRDefault="000F1F95" w:rsidP="00DC6C97">
      <w:pPr>
        <w:spacing w:after="0"/>
        <w:rPr>
          <w:rFonts w:ascii="Times New Roman" w:hAnsi="Times New Roman" w:cs="Times New Roman"/>
        </w:rPr>
      </w:pPr>
    </w:p>
    <w:p w14:paraId="2A78FA7A" w14:textId="61CDF7C7" w:rsidR="00D10098" w:rsidRPr="00EA1AAB" w:rsidRDefault="00D10098" w:rsidP="00DC6C97">
      <w:pPr>
        <w:spacing w:after="0"/>
        <w:rPr>
          <w:rFonts w:ascii="Times New Roman" w:hAnsi="Times New Roman" w:cs="Times New Roman"/>
        </w:rPr>
      </w:pPr>
      <w:r w:rsidRPr="00EA1AAB">
        <w:rPr>
          <w:rFonts w:ascii="Times New Roman" w:hAnsi="Times New Roman" w:cs="Times New Roman"/>
        </w:rPr>
        <w:t xml:space="preserve">The success of zoning depends on </w:t>
      </w:r>
      <w:r w:rsidRPr="00EA1AAB">
        <w:rPr>
          <w:rFonts w:ascii="Times New Roman" w:hAnsi="Times New Roman" w:cs="Times New Roman"/>
          <w:b/>
          <w:bCs/>
        </w:rPr>
        <w:t>Traffic Control</w:t>
      </w:r>
      <w:r w:rsidRPr="00EA1AAB">
        <w:rPr>
          <w:rFonts w:ascii="Times New Roman" w:hAnsi="Times New Roman" w:cs="Times New Roman"/>
        </w:rPr>
        <w:t>. This involves managing the movement of employees, forklifts, and equipment. For example, a forklift used in the warehouse (Zone 4) should not enter the high-care processing area (Zone 2) without a wheel sanitation step or a dedicated transition zone.</w:t>
      </w:r>
    </w:p>
    <w:p w14:paraId="4C093C1A" w14:textId="77777777" w:rsidR="00DC6C97" w:rsidRPr="00EA1AAB" w:rsidRDefault="00DC6C97" w:rsidP="00DC6C97">
      <w:pPr>
        <w:spacing w:after="0"/>
        <w:rPr>
          <w:rFonts w:ascii="Times New Roman" w:hAnsi="Times New Roman" w:cs="Times New Roman"/>
        </w:rPr>
      </w:pPr>
    </w:p>
    <w:p w14:paraId="04C440A7" w14:textId="77777777" w:rsidR="006232F6" w:rsidRPr="00EA1AAB" w:rsidRDefault="006232F6" w:rsidP="00DC6C97">
      <w:pPr>
        <w:spacing w:after="0"/>
        <w:rPr>
          <w:rFonts w:ascii="Times New Roman" w:hAnsi="Times New Roman" w:cs="Times New Roman"/>
        </w:rPr>
      </w:pPr>
    </w:p>
    <w:p w14:paraId="74629BF8" w14:textId="77777777" w:rsidR="006232F6" w:rsidRPr="00EA1AAB" w:rsidRDefault="006232F6" w:rsidP="00B3254B">
      <w:pPr>
        <w:spacing w:after="120"/>
        <w:rPr>
          <w:rFonts w:ascii="Times New Roman" w:hAnsi="Times New Roman" w:cs="Times New Roman"/>
        </w:rPr>
      </w:pPr>
    </w:p>
    <w:p w14:paraId="35AA5694" w14:textId="2D892A23" w:rsidR="00682E1D" w:rsidRPr="00EA1AAB" w:rsidRDefault="00682E1D" w:rsidP="00682E1D">
      <w:pPr>
        <w:rPr>
          <w:rFonts w:ascii="Times New Roman" w:hAnsi="Times New Roman" w:cs="Times New Roman"/>
          <w:b/>
          <w:bCs/>
        </w:rPr>
      </w:pPr>
      <w:r w:rsidRPr="00EA1AAB">
        <w:rPr>
          <w:rFonts w:ascii="Times New Roman" w:hAnsi="Times New Roman" w:cs="Times New Roman"/>
          <w:b/>
          <w:bCs/>
        </w:rPr>
        <w:t>2.  Implementing Hygienic Zoning and Managing the Processing Environment</w:t>
      </w:r>
    </w:p>
    <w:p w14:paraId="62C83FC2" w14:textId="77777777" w:rsidR="00682E1D" w:rsidRPr="00EA1AAB" w:rsidRDefault="00682E1D" w:rsidP="00682E1D">
      <w:pPr>
        <w:rPr>
          <w:rFonts w:ascii="Times New Roman" w:hAnsi="Times New Roman" w:cs="Times New Roman"/>
          <w:u w:val="single"/>
        </w:rPr>
      </w:pPr>
      <w:r w:rsidRPr="00EA1AAB">
        <w:rPr>
          <w:rFonts w:ascii="Times New Roman" w:hAnsi="Times New Roman" w:cs="Times New Roman"/>
          <w:u w:val="single"/>
        </w:rPr>
        <w:t>Facility Assessment</w:t>
      </w:r>
    </w:p>
    <w:p w14:paraId="3742E712" w14:textId="60C638C9" w:rsidR="00682E1D" w:rsidRPr="00EA1AAB" w:rsidRDefault="00682E1D" w:rsidP="00682E1D">
      <w:pPr>
        <w:rPr>
          <w:rFonts w:ascii="Times New Roman" w:hAnsi="Times New Roman" w:cs="Times New Roman"/>
        </w:rPr>
      </w:pPr>
      <w:r w:rsidRPr="00EA1AAB">
        <w:rPr>
          <w:rFonts w:ascii="Times New Roman" w:hAnsi="Times New Roman" w:cs="Times New Roman"/>
        </w:rPr>
        <w:t xml:space="preserve">A practical way to implement hygienic zoning is to begin with a facility assessment. </w:t>
      </w:r>
      <w:r w:rsidR="00BD5747">
        <w:rPr>
          <w:rFonts w:ascii="Times New Roman" w:hAnsi="Times New Roman" w:cs="Times New Roman"/>
        </w:rPr>
        <w:t>Management</w:t>
      </w:r>
      <w:r w:rsidRPr="00EA1AAB">
        <w:rPr>
          <w:rFonts w:ascii="Times New Roman" w:hAnsi="Times New Roman" w:cs="Times New Roman"/>
        </w:rPr>
        <w:t xml:space="preserve"> should identify where raw materials, employees, waste, rework, packaging, and finished products move throughout the plant. Once mapped, these movement patterns can reveal points where cross-contamination is most likely to occur, such as doorways between raw and ready-to-eat areas, shared forklifts, drain-heavy rooms, or employee transitions between production spaces. These findings can then be used to establish hygienic boundaries, transition practices, and sanitation expectations for each zone. Hygienic design principles also support this approach by emphasizing cleanable equipment, accessible surfaces, and layouts that reduce the accumulation and spread of contaminants.</w:t>
      </w:r>
    </w:p>
    <w:p w14:paraId="1CA75F1B" w14:textId="77777777" w:rsidR="00682E1D" w:rsidRPr="00EA1AAB" w:rsidRDefault="00682E1D" w:rsidP="00682E1D">
      <w:pPr>
        <w:rPr>
          <w:rFonts w:ascii="Times New Roman" w:hAnsi="Times New Roman" w:cs="Times New Roman"/>
          <w:u w:val="single"/>
        </w:rPr>
      </w:pPr>
      <w:r w:rsidRPr="00EA1AAB">
        <w:rPr>
          <w:rFonts w:ascii="Times New Roman" w:hAnsi="Times New Roman" w:cs="Times New Roman"/>
          <w:u w:val="single"/>
        </w:rPr>
        <w:t>Written Procedures and Routine Monitoring</w:t>
      </w:r>
    </w:p>
    <w:p w14:paraId="5BF83FCF" w14:textId="7EEF508F" w:rsidR="00682E1D" w:rsidRPr="00EA1AAB" w:rsidRDefault="00682E1D" w:rsidP="00682E1D">
      <w:pPr>
        <w:rPr>
          <w:rFonts w:ascii="Times New Roman" w:hAnsi="Times New Roman" w:cs="Times New Roman"/>
        </w:rPr>
      </w:pPr>
      <w:r w:rsidRPr="00EA1AAB">
        <w:rPr>
          <w:rFonts w:ascii="Times New Roman" w:hAnsi="Times New Roman" w:cs="Times New Roman"/>
        </w:rPr>
        <w:t xml:space="preserve">An effective zoning program should also include written procedures for routine monitoring and corrective action. For example, if a Zone 2 or Zone 3 environmental swab shows a positive result for an indicator organism or environmental pathogen, the response should go beyond recleaning the immediate area. </w:t>
      </w:r>
      <w:r w:rsidR="005C2038" w:rsidRPr="005C2038">
        <w:rPr>
          <w:rFonts w:ascii="Times New Roman" w:hAnsi="Times New Roman" w:cs="Times New Roman"/>
        </w:rPr>
        <w:t>The facility should evaluate surrounding equipment, employee traffic, water sources, drain conditions, and recent sanitation effectiveness to determine the root cause. Follow-up actions may include intensified cleaning followed by sanitation, resampling, temporary restrictions on traffic flow, retraining of employees, or revision of sanitation standard operating procedures</w:t>
      </w:r>
      <w:r w:rsidR="005C2038">
        <w:rPr>
          <w:rFonts w:ascii="Times New Roman" w:hAnsi="Times New Roman" w:cs="Times New Roman"/>
        </w:rPr>
        <w:t xml:space="preserve">. </w:t>
      </w:r>
      <w:r w:rsidRPr="00EA1AAB">
        <w:rPr>
          <w:rFonts w:ascii="Times New Roman" w:hAnsi="Times New Roman" w:cs="Times New Roman"/>
        </w:rPr>
        <w:t>This makes zoning a living control system that improves over time instead of a one-time facility map. FDA guidance on ready-to-eat foods emphasizes the importance of environmental monitoring and corrective actions as part of pathogen control in processing environments.</w:t>
      </w:r>
    </w:p>
    <w:p w14:paraId="5DB4E075" w14:textId="77777777" w:rsidR="00682E1D" w:rsidRPr="00EA1AAB" w:rsidRDefault="00682E1D" w:rsidP="00682E1D">
      <w:pPr>
        <w:rPr>
          <w:rFonts w:ascii="Times New Roman" w:hAnsi="Times New Roman" w:cs="Times New Roman"/>
          <w:u w:val="single"/>
        </w:rPr>
      </w:pPr>
      <w:r w:rsidRPr="00EA1AAB">
        <w:rPr>
          <w:rFonts w:ascii="Times New Roman" w:hAnsi="Times New Roman" w:cs="Times New Roman"/>
          <w:u w:val="single"/>
        </w:rPr>
        <w:t>Awareness and Food Safety Culture</w:t>
      </w:r>
    </w:p>
    <w:p w14:paraId="7F13D6CB" w14:textId="77777777" w:rsidR="00682E1D" w:rsidRDefault="00682E1D" w:rsidP="00682E1D">
      <w:pPr>
        <w:rPr>
          <w:rFonts w:ascii="Times New Roman" w:hAnsi="Times New Roman" w:cs="Times New Roman"/>
        </w:rPr>
      </w:pPr>
      <w:r w:rsidRPr="00EA1AAB">
        <w:rPr>
          <w:rFonts w:ascii="Times New Roman" w:hAnsi="Times New Roman" w:cs="Times New Roman"/>
        </w:rPr>
        <w:t>Another important consideration is that hygienic zoning must be reinforced through employee awareness and food safety culture. Even a well-designed facility can fail if employees do not understand why movement restrictions, footwear changes, handwashing, or dedicated tools matter. Training should explain not only what employees must do in each zone, but also how pathogens can spread through seemingly small actions such as moving a hose, using the wrong brush, or walking from a warehouse into a high-care room without proper transition steps. When employees understand the reason behind zoning requirements, compliance is generally stronger and more consistent. Hygienic design guidance likewise stresses that facility and equipment controls must work together with good operational practices to protect food safety.</w:t>
      </w:r>
    </w:p>
    <w:p w14:paraId="7E2DD1B0" w14:textId="3461B298" w:rsidR="00D10098" w:rsidRPr="00EA1AAB" w:rsidRDefault="00682E1D" w:rsidP="00D10098">
      <w:pPr>
        <w:rPr>
          <w:rFonts w:ascii="Times New Roman" w:hAnsi="Times New Roman" w:cs="Times New Roman"/>
          <w:b/>
          <w:bCs/>
        </w:rPr>
      </w:pPr>
      <w:r w:rsidRPr="00EA1AAB">
        <w:rPr>
          <w:rFonts w:ascii="Times New Roman" w:hAnsi="Times New Roman" w:cs="Times New Roman"/>
          <w:b/>
          <w:bCs/>
        </w:rPr>
        <w:lastRenderedPageBreak/>
        <w:t xml:space="preserve">3. Key Points for </w:t>
      </w:r>
      <w:r w:rsidR="00D10098" w:rsidRPr="00EA1AAB">
        <w:rPr>
          <w:rFonts w:ascii="Times New Roman" w:hAnsi="Times New Roman" w:cs="Times New Roman"/>
          <w:b/>
          <w:bCs/>
        </w:rPr>
        <w:t>Establishing Physical and Procedural Barriers</w:t>
      </w:r>
    </w:p>
    <w:p w14:paraId="3DF977CF" w14:textId="08BAF476" w:rsidR="00D10098" w:rsidRDefault="004E0781" w:rsidP="00D10098">
      <w:pPr>
        <w:rPr>
          <w:rFonts w:ascii="Times New Roman" w:hAnsi="Times New Roman" w:cs="Times New Roman"/>
        </w:rPr>
      </w:pPr>
      <w:r w:rsidRPr="00EA1AAB">
        <w:rPr>
          <w:rFonts w:ascii="Times New Roman" w:hAnsi="Times New Roman" w:cs="Times New Roman"/>
        </w:rPr>
        <w:t xml:space="preserve">To make zoning effective, food facilities must manage the movement of people, equipment, and air between zones. </w:t>
      </w:r>
      <w:r w:rsidR="00D10098" w:rsidRPr="00EA1AAB">
        <w:rPr>
          <w:rFonts w:ascii="Times New Roman" w:hAnsi="Times New Roman" w:cs="Times New Roman"/>
        </w:rPr>
        <w:t>The facility layout and culture must support these zones:</w:t>
      </w:r>
    </w:p>
    <w:p w14:paraId="267612D9" w14:textId="77777777" w:rsidR="00D10098" w:rsidRPr="00EA1AAB" w:rsidRDefault="00D10098" w:rsidP="00D10098">
      <w:pPr>
        <w:numPr>
          <w:ilvl w:val="0"/>
          <w:numId w:val="2"/>
        </w:numPr>
        <w:rPr>
          <w:rFonts w:ascii="Times New Roman" w:hAnsi="Times New Roman" w:cs="Times New Roman"/>
        </w:rPr>
      </w:pPr>
      <w:r w:rsidRPr="00EA1AAB">
        <w:rPr>
          <w:rFonts w:ascii="Times New Roman" w:hAnsi="Times New Roman" w:cs="Times New Roman"/>
          <w:b/>
          <w:bCs/>
        </w:rPr>
        <w:t>Map the Facility and Visual Boundaries:</w:t>
      </w:r>
      <w:r w:rsidRPr="00EA1AAB">
        <w:rPr>
          <w:rFonts w:ascii="Times New Roman" w:hAnsi="Times New Roman" w:cs="Times New Roman"/>
        </w:rPr>
        <w:t xml:space="preserve"> Identify where raw materials enter and finished products exit. Use floor tape, physical barriers, and signage to clearly mark where one zone ends and another begins.</w:t>
      </w:r>
    </w:p>
    <w:p w14:paraId="155E126B" w14:textId="77777777" w:rsidR="004E0781" w:rsidRPr="00EA1AAB" w:rsidRDefault="004E0781" w:rsidP="004E0781">
      <w:pPr>
        <w:numPr>
          <w:ilvl w:val="0"/>
          <w:numId w:val="2"/>
        </w:numPr>
        <w:rPr>
          <w:rFonts w:ascii="Times New Roman" w:hAnsi="Times New Roman" w:cs="Times New Roman"/>
        </w:rPr>
      </w:pPr>
      <w:r w:rsidRPr="00EA1AAB">
        <w:rPr>
          <w:rFonts w:ascii="Times New Roman" w:hAnsi="Times New Roman" w:cs="Times New Roman"/>
          <w:b/>
          <w:bCs/>
        </w:rPr>
        <w:t>Traffic Flow:</w:t>
      </w:r>
      <w:r w:rsidRPr="00EA1AAB">
        <w:rPr>
          <w:rFonts w:ascii="Times New Roman" w:hAnsi="Times New Roman" w:cs="Times New Roman"/>
        </w:rPr>
        <w:t xml:space="preserve"> Designate specific paths for workers and equipment to minimize "criss-crossing." For example, staff working in raw receiving should not enter the finished product packaging area without a full hygiene transition.</w:t>
      </w:r>
    </w:p>
    <w:p w14:paraId="56095F4B" w14:textId="77777777" w:rsidR="003A27F1" w:rsidRPr="00EA1AAB" w:rsidRDefault="003A27F1" w:rsidP="003A27F1">
      <w:pPr>
        <w:numPr>
          <w:ilvl w:val="0"/>
          <w:numId w:val="2"/>
        </w:numPr>
        <w:rPr>
          <w:rFonts w:ascii="Times New Roman" w:hAnsi="Times New Roman" w:cs="Times New Roman"/>
        </w:rPr>
      </w:pPr>
      <w:r w:rsidRPr="00EA1AAB">
        <w:rPr>
          <w:rFonts w:ascii="Times New Roman" w:hAnsi="Times New Roman" w:cs="Times New Roman"/>
          <w:b/>
          <w:bCs/>
        </w:rPr>
        <w:t>Foot Barriers:</w:t>
      </w:r>
      <w:r w:rsidRPr="00EA1AAB">
        <w:rPr>
          <w:rFonts w:ascii="Times New Roman" w:hAnsi="Times New Roman" w:cs="Times New Roman"/>
        </w:rPr>
        <w:t xml:space="preserve"> Utilize foot baths, dry foam sanitizers, or captive shoe programs at entry points to processing areas to prevent the "tracking" of environmental contaminants into the facility.</w:t>
      </w:r>
    </w:p>
    <w:p w14:paraId="1ABDCFB9" w14:textId="16F76441" w:rsidR="00D10098" w:rsidRPr="00EA1AAB" w:rsidRDefault="00D10098" w:rsidP="004E0781">
      <w:pPr>
        <w:numPr>
          <w:ilvl w:val="0"/>
          <w:numId w:val="1"/>
        </w:numPr>
        <w:rPr>
          <w:rFonts w:ascii="Times New Roman" w:hAnsi="Times New Roman" w:cs="Times New Roman"/>
        </w:rPr>
      </w:pPr>
      <w:r w:rsidRPr="00EA1AAB">
        <w:rPr>
          <w:rFonts w:ascii="Times New Roman" w:hAnsi="Times New Roman" w:cs="Times New Roman"/>
          <w:b/>
          <w:bCs/>
        </w:rPr>
        <w:t>Dedicated Tooling</w:t>
      </w:r>
      <w:r w:rsidR="003A27F1" w:rsidRPr="00EA1AAB">
        <w:rPr>
          <w:rFonts w:ascii="Times New Roman" w:hAnsi="Times New Roman" w:cs="Times New Roman"/>
          <w:b/>
          <w:bCs/>
        </w:rPr>
        <w:t xml:space="preserve"> and Color-Coding</w:t>
      </w:r>
      <w:r w:rsidRPr="00EA1AAB">
        <w:rPr>
          <w:rFonts w:ascii="Times New Roman" w:hAnsi="Times New Roman" w:cs="Times New Roman"/>
          <w:b/>
          <w:bCs/>
        </w:rPr>
        <w:t>:</w:t>
      </w:r>
      <w:r w:rsidRPr="00EA1AAB">
        <w:rPr>
          <w:rFonts w:ascii="Times New Roman" w:hAnsi="Times New Roman" w:cs="Times New Roman"/>
        </w:rPr>
        <w:t xml:space="preserve"> Assign specific cleaning tools to specific zones. </w:t>
      </w:r>
      <w:r w:rsidR="004E0781" w:rsidRPr="00EA1AAB">
        <w:rPr>
          <w:rFonts w:ascii="Times New Roman" w:hAnsi="Times New Roman" w:cs="Times New Roman"/>
        </w:rPr>
        <w:t xml:space="preserve">Use color-coded tools (brooms, squeegees, brushes) to ensure that a brush used to clean a floor (Zone 3) is never used on a processing table (Zone 1). </w:t>
      </w:r>
      <w:r w:rsidRPr="00EA1AAB">
        <w:rPr>
          <w:rFonts w:ascii="Times New Roman" w:hAnsi="Times New Roman" w:cs="Times New Roman"/>
        </w:rPr>
        <w:t xml:space="preserve">A common industry standard is </w:t>
      </w:r>
      <w:r w:rsidRPr="00EA1AAB">
        <w:rPr>
          <w:rFonts w:ascii="Times New Roman" w:hAnsi="Times New Roman" w:cs="Times New Roman"/>
          <w:b/>
          <w:bCs/>
        </w:rPr>
        <w:t>Red</w:t>
      </w:r>
      <w:r w:rsidRPr="00EA1AAB">
        <w:rPr>
          <w:rFonts w:ascii="Times New Roman" w:hAnsi="Times New Roman" w:cs="Times New Roman"/>
        </w:rPr>
        <w:t xml:space="preserve"> for Zone 1 (food contact), </w:t>
      </w:r>
      <w:r w:rsidRPr="00EA1AAB">
        <w:rPr>
          <w:rFonts w:ascii="Times New Roman" w:hAnsi="Times New Roman" w:cs="Times New Roman"/>
          <w:b/>
          <w:bCs/>
        </w:rPr>
        <w:t>Yellow</w:t>
      </w:r>
      <w:r w:rsidRPr="00EA1AAB">
        <w:rPr>
          <w:rFonts w:ascii="Times New Roman" w:hAnsi="Times New Roman" w:cs="Times New Roman"/>
        </w:rPr>
        <w:t xml:space="preserve"> for Zone 2/3 (non-contact), and </w:t>
      </w:r>
      <w:r w:rsidRPr="00EA1AAB">
        <w:rPr>
          <w:rFonts w:ascii="Times New Roman" w:hAnsi="Times New Roman" w:cs="Times New Roman"/>
          <w:b/>
          <w:bCs/>
        </w:rPr>
        <w:t>Black</w:t>
      </w:r>
      <w:r w:rsidRPr="00EA1AAB">
        <w:rPr>
          <w:rFonts w:ascii="Times New Roman" w:hAnsi="Times New Roman" w:cs="Times New Roman"/>
        </w:rPr>
        <w:t xml:space="preserve"> for Zone 4 (drains/outdoors).</w:t>
      </w:r>
    </w:p>
    <w:p w14:paraId="7ED6AB38" w14:textId="1DD742A1" w:rsidR="00D10098" w:rsidRPr="00EA1AAB" w:rsidRDefault="00D10098" w:rsidP="00D10098">
      <w:pPr>
        <w:numPr>
          <w:ilvl w:val="0"/>
          <w:numId w:val="2"/>
        </w:numPr>
        <w:rPr>
          <w:rFonts w:ascii="Times New Roman" w:hAnsi="Times New Roman" w:cs="Times New Roman"/>
        </w:rPr>
      </w:pPr>
      <w:r w:rsidRPr="00EA1AAB">
        <w:rPr>
          <w:rFonts w:ascii="Times New Roman" w:hAnsi="Times New Roman" w:cs="Times New Roman"/>
          <w:b/>
          <w:bCs/>
        </w:rPr>
        <w:t>Sanitary Design and Water Management:</w:t>
      </w:r>
      <w:r w:rsidRPr="00EA1AAB">
        <w:rPr>
          <w:rFonts w:ascii="Times New Roman" w:hAnsi="Times New Roman" w:cs="Times New Roman"/>
        </w:rPr>
        <w:t xml:space="preserve"> Ensure no "dead spots" where water can pool. Since water is a common vehicle for pathogens, eliminate standing water. </w:t>
      </w:r>
      <w:r w:rsidR="00473B1F" w:rsidRPr="00473B1F">
        <w:rPr>
          <w:rFonts w:ascii="Times New Roman" w:hAnsi="Times New Roman" w:cs="Times New Roman"/>
        </w:rPr>
        <w:t>Drains should always be designed and managed so that water flows away from higher hygiene, product-sensitive areas and toward less sensitive or lower hygiene zones.</w:t>
      </w:r>
      <w:r w:rsidRPr="00EA1AAB">
        <w:rPr>
          <w:rFonts w:ascii="Times New Roman" w:hAnsi="Times New Roman" w:cs="Times New Roman"/>
        </w:rPr>
        <w:t>.</w:t>
      </w:r>
    </w:p>
    <w:p w14:paraId="03C05B8B" w14:textId="14E2144C" w:rsidR="00AF2812" w:rsidRDefault="001F7801" w:rsidP="00D10098">
      <w:pPr>
        <w:numPr>
          <w:ilvl w:val="0"/>
          <w:numId w:val="2"/>
        </w:numPr>
        <w:rPr>
          <w:rFonts w:ascii="Times New Roman" w:hAnsi="Times New Roman" w:cs="Times New Roman"/>
        </w:rPr>
      </w:pPr>
      <w:r w:rsidRPr="001F7801">
        <w:rPr>
          <w:rFonts w:ascii="Times New Roman" w:hAnsi="Times New Roman" w:cs="Times New Roman"/>
          <w:b/>
          <w:bCs/>
        </w:rPr>
        <w:t xml:space="preserve">Monitoring the Zoning System: </w:t>
      </w:r>
      <w:r w:rsidRPr="001F7801">
        <w:rPr>
          <w:rFonts w:ascii="Times New Roman" w:hAnsi="Times New Roman" w:cs="Times New Roman"/>
        </w:rPr>
        <w:t xml:space="preserve">Successful hygienic zoning requires strong management commitment to routinely monitoring the zoning system to ensure that physical barriers, traffic patterns, transition points, and hygiene controls are functioning as intended. </w:t>
      </w:r>
    </w:p>
    <w:p w14:paraId="4CE95A2B" w14:textId="18381ED1" w:rsidR="00D07E48" w:rsidRDefault="00D07E48" w:rsidP="00D10098">
      <w:pPr>
        <w:numPr>
          <w:ilvl w:val="0"/>
          <w:numId w:val="2"/>
        </w:numPr>
        <w:rPr>
          <w:rFonts w:ascii="Times New Roman" w:hAnsi="Times New Roman" w:cs="Times New Roman"/>
        </w:rPr>
      </w:pPr>
      <w:r w:rsidRPr="00D07E48">
        <w:rPr>
          <w:rFonts w:ascii="Times New Roman" w:hAnsi="Times New Roman" w:cs="Times New Roman"/>
          <w:b/>
          <w:bCs/>
        </w:rPr>
        <w:t xml:space="preserve">Monitoring Worker Hygiene Practices: </w:t>
      </w:r>
      <w:r w:rsidRPr="00D07E48">
        <w:rPr>
          <w:rFonts w:ascii="Times New Roman" w:hAnsi="Times New Roman" w:cs="Times New Roman"/>
        </w:rPr>
        <w:t>Ongoing observation of worker hygiene practices is needed to verify that zone-specific procedures are being followed consistently. Employees are more likely to follow these practices when expectations are clear and consistently communicated.</w:t>
      </w:r>
      <w:r w:rsidR="001F7801" w:rsidRPr="001F7801">
        <w:rPr>
          <w:rFonts w:ascii="Times New Roman" w:hAnsi="Times New Roman" w:cs="Times New Roman"/>
        </w:rPr>
        <w:t xml:space="preserve"> </w:t>
      </w:r>
    </w:p>
    <w:p w14:paraId="0C737A55" w14:textId="0D035172" w:rsidR="00D10098" w:rsidRDefault="00D07E48" w:rsidP="00D10098">
      <w:pPr>
        <w:numPr>
          <w:ilvl w:val="0"/>
          <w:numId w:val="2"/>
        </w:numPr>
        <w:rPr>
          <w:rFonts w:ascii="Times New Roman" w:hAnsi="Times New Roman" w:cs="Times New Roman"/>
        </w:rPr>
      </w:pPr>
      <w:r w:rsidRPr="00D07E48">
        <w:rPr>
          <w:rFonts w:ascii="Times New Roman" w:hAnsi="Times New Roman" w:cs="Times New Roman"/>
          <w:b/>
          <w:bCs/>
        </w:rPr>
        <w:t>Providing Resources to Support Hygienic Practices:</w:t>
      </w:r>
      <w:r w:rsidRPr="00D07E48">
        <w:rPr>
          <w:rFonts w:ascii="Times New Roman" w:hAnsi="Times New Roman" w:cs="Times New Roman"/>
        </w:rPr>
        <w:t xml:space="preserve"> Management should ensure that employees have the tools, infrastructure, and support needed to follow zone-specific procedures effectively. Examples include access to gloves, clean aprons or smocks, and boot dips when moving between zones. Dedicated handwashing stations should also be provided at the entrance to each high-care or product-sensitive area</w:t>
      </w:r>
      <w:r w:rsidR="00D10098" w:rsidRPr="001F7801">
        <w:rPr>
          <w:rFonts w:ascii="Times New Roman" w:hAnsi="Times New Roman" w:cs="Times New Roman"/>
        </w:rPr>
        <w:t>.</w:t>
      </w:r>
    </w:p>
    <w:p w14:paraId="3F4AB348" w14:textId="77777777" w:rsidR="00B230CB" w:rsidRDefault="00B230CB" w:rsidP="00D10098">
      <w:pPr>
        <w:rPr>
          <w:rFonts w:ascii="Times New Roman" w:hAnsi="Times New Roman" w:cs="Times New Roman"/>
          <w:b/>
          <w:bCs/>
        </w:rPr>
      </w:pPr>
    </w:p>
    <w:p w14:paraId="4528D370" w14:textId="074A0FBE" w:rsidR="00D10098" w:rsidRPr="00EA1AAB" w:rsidRDefault="00D10098" w:rsidP="00D10098">
      <w:pPr>
        <w:rPr>
          <w:rFonts w:ascii="Times New Roman" w:hAnsi="Times New Roman" w:cs="Times New Roman"/>
          <w:b/>
          <w:bCs/>
        </w:rPr>
      </w:pPr>
      <w:r w:rsidRPr="00EA1AAB">
        <w:rPr>
          <w:rFonts w:ascii="Times New Roman" w:hAnsi="Times New Roman" w:cs="Times New Roman"/>
          <w:b/>
          <w:bCs/>
        </w:rPr>
        <w:t>4. Verification and Environmental Monitoring</w:t>
      </w:r>
    </w:p>
    <w:p w14:paraId="3A2FB774" w14:textId="49A139B7" w:rsidR="00F303CD" w:rsidRPr="00F303CD" w:rsidRDefault="00F303CD" w:rsidP="00F303CD">
      <w:pPr>
        <w:rPr>
          <w:rFonts w:ascii="Times New Roman" w:hAnsi="Times New Roman" w:cs="Times New Roman"/>
        </w:rPr>
      </w:pPr>
      <w:r w:rsidRPr="00F303CD">
        <w:rPr>
          <w:rFonts w:ascii="Times New Roman" w:hAnsi="Times New Roman" w:cs="Times New Roman"/>
        </w:rPr>
        <w:t>A zoning system is only useful if the facility checks to make sure it is actually working. In other words, once zoning practices are in place and employee hygiene practices are being followed, the next step is to verify that these controls are doing what they are supposed to do. This is where verification and environmental monitoring become important.</w:t>
      </w:r>
    </w:p>
    <w:p w14:paraId="539DB82D" w14:textId="24079823" w:rsidR="00F303CD" w:rsidRPr="00F303CD" w:rsidRDefault="00F303CD" w:rsidP="00F303CD">
      <w:pPr>
        <w:rPr>
          <w:rFonts w:ascii="Times New Roman" w:hAnsi="Times New Roman" w:cs="Times New Roman"/>
        </w:rPr>
      </w:pPr>
      <w:r w:rsidRPr="00F303CD">
        <w:rPr>
          <w:rFonts w:ascii="Times New Roman" w:hAnsi="Times New Roman" w:cs="Times New Roman"/>
        </w:rPr>
        <w:t xml:space="preserve">One common way to do this is through an Environmental Monitoring Program (EMP). This involves regularly swabbing selected surfaces, especially in Zone 2 and Zone 3, and testing them for indicator organisms. These organisms are not necessarily the harmful pathogen itself, but they </w:t>
      </w:r>
      <w:r w:rsidR="00FA50F2" w:rsidRPr="00FA50F2">
        <w:rPr>
          <w:rFonts w:ascii="Times New Roman" w:hAnsi="Times New Roman" w:cs="Times New Roman"/>
        </w:rPr>
        <w:t>serve as an early warning sign that</w:t>
      </w:r>
      <w:r w:rsidRPr="00F303CD">
        <w:rPr>
          <w:rFonts w:ascii="Times New Roman" w:hAnsi="Times New Roman" w:cs="Times New Roman"/>
        </w:rPr>
        <w:t xml:space="preserve"> cleaning, sanitation, or hygienic controls </w:t>
      </w:r>
      <w:r w:rsidR="00FA50F2" w:rsidRPr="00FA50F2">
        <w:rPr>
          <w:rFonts w:ascii="Times New Roman" w:hAnsi="Times New Roman" w:cs="Times New Roman"/>
        </w:rPr>
        <w:t>may be weakening</w:t>
      </w:r>
      <w:r w:rsidRPr="00F303CD">
        <w:rPr>
          <w:rFonts w:ascii="Times New Roman" w:hAnsi="Times New Roman" w:cs="Times New Roman"/>
        </w:rPr>
        <w:t>. In that way, indicator organisms act like a “check engine light.” They are often easier to detect than pathogens and can provide an early warning sign before a more serious contamination problem develops. If a hot spot is found in Zone 3, the food safety team can take corrective action before contamination spreads closer to Zone 1.</w:t>
      </w:r>
    </w:p>
    <w:p w14:paraId="6CC88D9B" w14:textId="77777777" w:rsidR="00D10098" w:rsidRPr="00EA1AAB" w:rsidRDefault="00D10098" w:rsidP="00D10098">
      <w:pPr>
        <w:rPr>
          <w:rFonts w:ascii="Times New Roman" w:hAnsi="Times New Roman" w:cs="Times New Roman"/>
          <w:b/>
          <w:bCs/>
        </w:rPr>
      </w:pPr>
      <w:r w:rsidRPr="00EA1AAB">
        <w:rPr>
          <w:rFonts w:ascii="Times New Roman" w:hAnsi="Times New Roman" w:cs="Times New Roman"/>
          <w:b/>
          <w:bCs/>
        </w:rPr>
        <w:t>Conclusion</w:t>
      </w:r>
    </w:p>
    <w:p w14:paraId="7178BF95" w14:textId="61E93513" w:rsidR="004055C7" w:rsidRPr="00EA1AAB" w:rsidRDefault="00D10098" w:rsidP="00D10098">
      <w:pPr>
        <w:rPr>
          <w:rFonts w:ascii="Times New Roman" w:hAnsi="Times New Roman" w:cs="Times New Roman"/>
        </w:rPr>
      </w:pPr>
      <w:r w:rsidRPr="00EA1AAB">
        <w:rPr>
          <w:rFonts w:ascii="Times New Roman" w:hAnsi="Times New Roman" w:cs="Times New Roman"/>
        </w:rPr>
        <w:t>Hygienic zoning is a primary defense against foodborne illness outbreaks. By separating "clean" from "dirty" operations, food facilities ensure their products remain safe for consumers.</w:t>
      </w:r>
      <w:r w:rsidR="004055C7" w:rsidRPr="00EA1AAB">
        <w:rPr>
          <w:rFonts w:ascii="Times New Roman" w:hAnsi="Times New Roman" w:cs="Times New Roman"/>
        </w:rPr>
        <w:t xml:space="preserve"> Hygienic zoning is more than a facility design concept; it is a risk-based food safety strategy that helps control the movement of people, tools, materials, air, and water in ways that reduce the likelihood of contamination. </w:t>
      </w:r>
      <w:r w:rsidR="006733B2" w:rsidRPr="006733B2">
        <w:rPr>
          <w:rFonts w:ascii="Times New Roman" w:hAnsi="Times New Roman" w:cs="Times New Roman"/>
        </w:rPr>
        <w:t>When supported by clear visual boundaries, employee training, sanitation practices, provision of the necessary resources, and environmental monitoring, hygienic zoning becomes a practical system for protecting food contact areas and finished products.</w:t>
      </w:r>
      <w:r w:rsidR="004055C7" w:rsidRPr="00EA1AAB">
        <w:rPr>
          <w:rFonts w:ascii="Times New Roman" w:hAnsi="Times New Roman" w:cs="Times New Roman"/>
        </w:rPr>
        <w:t>. For processors producing ready-to-eat foods or handling exposed products, an effective zoning program can strengthen preventive controls, improve sanitation verification, and reduce the chances of pathogen harborage and cross-contamination. Ultimately, hygienic zoning supports regulatory compliance, product quality, and consumer protection by helping food facilities maintain a safer processing environment.</w:t>
      </w:r>
    </w:p>
    <w:p w14:paraId="267CF639" w14:textId="0A7D55DE" w:rsidR="00D10098" w:rsidRPr="00EA1AAB" w:rsidRDefault="00D10098" w:rsidP="00D10098">
      <w:pPr>
        <w:rPr>
          <w:rFonts w:ascii="Times New Roman" w:hAnsi="Times New Roman" w:cs="Times New Roman"/>
          <w:b/>
          <w:bCs/>
        </w:rPr>
      </w:pPr>
      <w:r w:rsidRPr="00EA1AAB">
        <w:rPr>
          <w:rFonts w:ascii="Times New Roman" w:hAnsi="Times New Roman" w:cs="Times New Roman"/>
          <w:b/>
          <w:bCs/>
        </w:rPr>
        <w:t>Reference</w:t>
      </w:r>
      <w:r w:rsidR="00322D93">
        <w:rPr>
          <w:rFonts w:ascii="Times New Roman" w:hAnsi="Times New Roman" w:cs="Times New Roman"/>
          <w:b/>
          <w:bCs/>
        </w:rPr>
        <w:t>s</w:t>
      </w:r>
      <w:r w:rsidRPr="00EA1AAB">
        <w:rPr>
          <w:rFonts w:ascii="Times New Roman" w:hAnsi="Times New Roman" w:cs="Times New Roman"/>
          <w:b/>
          <w:bCs/>
        </w:rPr>
        <w:t xml:space="preserve"> </w:t>
      </w:r>
    </w:p>
    <w:p w14:paraId="6C4E43CF" w14:textId="7FA2AA43" w:rsidR="0032657A" w:rsidRPr="00EA1AAB" w:rsidRDefault="00A3727D" w:rsidP="00680ABA">
      <w:pPr>
        <w:pStyle w:val="NormalWeb"/>
        <w:numPr>
          <w:ilvl w:val="0"/>
          <w:numId w:val="6"/>
        </w:numPr>
        <w:spacing w:before="0" w:beforeAutospacing="0" w:after="120" w:afterAutospacing="0"/>
      </w:pPr>
      <w:r w:rsidRPr="00680ABA">
        <w:rPr>
          <w:rFonts w:eastAsiaTheme="minorHAnsi"/>
          <w:kern w:val="2"/>
          <w14:ligatures w14:val="standardContextual"/>
        </w:rPr>
        <w:t>U.S. Food and Drug Administration. (2017). Draft guidance for industry: Control of Listeria monocytogenes in ready-to-eat foods.</w:t>
      </w:r>
      <w:r w:rsidRPr="00A3727D">
        <w:rPr>
          <w:rFonts w:eastAsiaTheme="minorHAnsi"/>
          <w:i/>
          <w:iCs/>
          <w:kern w:val="2"/>
          <w14:ligatures w14:val="standardContextual"/>
        </w:rPr>
        <w:t xml:space="preserve"> </w:t>
      </w:r>
      <w:hyperlink r:id="rId7" w:tgtFrame="_new" w:history="1">
        <w:r w:rsidRPr="00A3727D">
          <w:rPr>
            <w:rStyle w:val="Hyperlink"/>
            <w:rFonts w:eastAsiaTheme="minorHAnsi"/>
            <w:i/>
            <w:iCs/>
            <w:kern w:val="2"/>
            <w14:ligatures w14:val="standardContextual"/>
          </w:rPr>
          <w:t>https://www.fda.gov/regulatory-information/search-fda-guidance-documents/draft-guidance-industry-control-listeria-monocytogenes-ready-eat-foods</w:t>
        </w:r>
      </w:hyperlink>
    </w:p>
    <w:p w14:paraId="30168EE5" w14:textId="4573FD58" w:rsidR="00C333F9" w:rsidRPr="00EA1AAB" w:rsidRDefault="00C333F9" w:rsidP="00C333F9">
      <w:pPr>
        <w:pStyle w:val="NormalWeb"/>
        <w:numPr>
          <w:ilvl w:val="0"/>
          <w:numId w:val="6"/>
        </w:numPr>
        <w:spacing w:before="0" w:beforeAutospacing="0" w:after="0" w:afterAutospacing="0"/>
      </w:pPr>
      <w:r w:rsidRPr="00EA1AAB">
        <w:t>Martin, Nicole H., Aljoša Trmčić, Tsung-Han Hsieh, Kathryn J. Boor, and Martin Wiedmann. "The evolving role of coliforms as indicators of unhygienic processing conditions in dairy foods." </w:t>
      </w:r>
      <w:r w:rsidRPr="00EA1AAB">
        <w:rPr>
          <w:i/>
          <w:iCs/>
        </w:rPr>
        <w:t>Frontiers in microbiology</w:t>
      </w:r>
      <w:r w:rsidRPr="00EA1AAB">
        <w:t> 7 (2016): 1549.</w:t>
      </w:r>
    </w:p>
    <w:p w14:paraId="0E264D08" w14:textId="77777777" w:rsidR="00C333F9" w:rsidRDefault="00C333F9" w:rsidP="00C333F9">
      <w:pPr>
        <w:pStyle w:val="NormalWeb"/>
        <w:spacing w:before="0" w:beforeAutospacing="0" w:after="0" w:afterAutospacing="0"/>
        <w:ind w:left="720"/>
      </w:pPr>
    </w:p>
    <w:p w14:paraId="6E5398EA" w14:textId="77777777" w:rsidR="00680ABA" w:rsidRPr="00EA1AAB" w:rsidRDefault="00680ABA" w:rsidP="00C333F9">
      <w:pPr>
        <w:pStyle w:val="NormalWeb"/>
        <w:spacing w:before="0" w:beforeAutospacing="0" w:after="0" w:afterAutospacing="0"/>
        <w:ind w:left="720"/>
      </w:pPr>
    </w:p>
    <w:p w14:paraId="30F68917" w14:textId="2DDA5C12" w:rsidR="00C333F9" w:rsidRPr="00EA1AAB" w:rsidRDefault="00C333F9" w:rsidP="00C333F9">
      <w:pPr>
        <w:pStyle w:val="NormalWeb"/>
        <w:numPr>
          <w:ilvl w:val="0"/>
          <w:numId w:val="6"/>
        </w:numPr>
        <w:spacing w:before="0" w:beforeAutospacing="0" w:after="0" w:afterAutospacing="0"/>
      </w:pPr>
      <w:r w:rsidRPr="00EA1AAB">
        <w:t>Richiardi, Lisa, Cristina Pignata, Elisabetta Fea, Silvia Bonetta, and Elisabetta Carraro. "Are indicator microorganisms predictive of pathogens in water?." </w:t>
      </w:r>
      <w:r w:rsidRPr="00EA1AAB">
        <w:rPr>
          <w:i/>
          <w:iCs/>
        </w:rPr>
        <w:t>Water</w:t>
      </w:r>
      <w:r w:rsidRPr="00EA1AAB">
        <w:t> 15, no. 16 (2023): 2964.</w:t>
      </w:r>
    </w:p>
    <w:p w14:paraId="10AAAC72" w14:textId="77777777" w:rsidR="00C333F9" w:rsidRPr="00EA1AAB" w:rsidRDefault="00C333F9" w:rsidP="00C333F9">
      <w:pPr>
        <w:pStyle w:val="ListParagraph"/>
        <w:spacing w:after="0" w:line="240" w:lineRule="auto"/>
        <w:rPr>
          <w:rFonts w:ascii="Times New Roman" w:hAnsi="Times New Roman" w:cs="Times New Roman"/>
        </w:rPr>
      </w:pPr>
    </w:p>
    <w:p w14:paraId="01AF6DFB" w14:textId="4E4D1C04" w:rsidR="00D10098" w:rsidRPr="00EA1AAB" w:rsidRDefault="00C333F9" w:rsidP="00C333F9">
      <w:pPr>
        <w:pStyle w:val="ListParagraph"/>
        <w:numPr>
          <w:ilvl w:val="0"/>
          <w:numId w:val="6"/>
        </w:numPr>
        <w:spacing w:after="0" w:line="240" w:lineRule="auto"/>
        <w:rPr>
          <w:rFonts w:ascii="Times New Roman" w:hAnsi="Times New Roman" w:cs="Times New Roman"/>
        </w:rPr>
      </w:pPr>
      <w:r w:rsidRPr="00EA1AAB">
        <w:rPr>
          <w:rFonts w:ascii="Times New Roman" w:hAnsi="Times New Roman" w:cs="Times New Roman"/>
        </w:rPr>
        <w:t>FDA, HHS. "Current good manufacturing practice, hazard analysis, and risk-based preventative controls for human food." </w:t>
      </w:r>
      <w:r w:rsidRPr="00EA1AAB">
        <w:rPr>
          <w:rFonts w:ascii="Times New Roman" w:hAnsi="Times New Roman" w:cs="Times New Roman"/>
          <w:i/>
          <w:iCs/>
        </w:rPr>
        <w:t>Code of Federal Regulations. Office of the Federal Register, National Archives and Records Administration, College Park, MD</w:t>
      </w:r>
      <w:r w:rsidRPr="00EA1AAB">
        <w:rPr>
          <w:rFonts w:ascii="Times New Roman" w:hAnsi="Times New Roman" w:cs="Times New Roman"/>
        </w:rPr>
        <w:t> (2015).</w:t>
      </w:r>
      <w:r w:rsidR="00421BAF" w:rsidRPr="00EA1AAB">
        <w:rPr>
          <w:rFonts w:ascii="Times New Roman" w:hAnsi="Times New Roman" w:cs="Times New Roman"/>
        </w:rPr>
        <w:t xml:space="preserve"> </w:t>
      </w:r>
    </w:p>
    <w:p w14:paraId="1715CAD4" w14:textId="7FFAED90" w:rsidR="00401B65" w:rsidRDefault="00401B65" w:rsidP="00401B65">
      <w:pPr>
        <w:pStyle w:val="ListParagraph"/>
        <w:spacing w:after="0" w:line="240" w:lineRule="auto"/>
      </w:pPr>
      <w:hyperlink r:id="rId8" w:history="1">
        <w:r w:rsidRPr="00EA1AAB">
          <w:rPr>
            <w:rStyle w:val="Hyperlink"/>
            <w:rFonts w:ascii="Times New Roman" w:hAnsi="Times New Roman" w:cs="Times New Roman"/>
          </w:rPr>
          <w:t>https://www.federalregister.gov/documents/2015/09/17/2015-21920/current-good-manufacturing-practice-hazard-analysis-and-risk-based-preventive-controls-for-human</w:t>
        </w:r>
      </w:hyperlink>
    </w:p>
    <w:p w14:paraId="7C9B30C7" w14:textId="77777777" w:rsidR="00C109DF" w:rsidRPr="00EA1AAB" w:rsidRDefault="00C109DF" w:rsidP="00401B65">
      <w:pPr>
        <w:pStyle w:val="ListParagraph"/>
        <w:spacing w:after="0" w:line="240" w:lineRule="auto"/>
        <w:rPr>
          <w:rFonts w:ascii="Times New Roman" w:hAnsi="Times New Roman" w:cs="Times New Roman"/>
        </w:rPr>
      </w:pPr>
    </w:p>
    <w:p w14:paraId="2ECDDB23" w14:textId="417048B9" w:rsidR="00BA0340" w:rsidRPr="00C109DF" w:rsidRDefault="00C109DF" w:rsidP="00C109DF">
      <w:pPr>
        <w:pStyle w:val="ListParagraph"/>
        <w:numPr>
          <w:ilvl w:val="0"/>
          <w:numId w:val="6"/>
        </w:numPr>
        <w:spacing w:after="0" w:line="240" w:lineRule="auto"/>
        <w:rPr>
          <w:rFonts w:ascii="Times New Roman" w:hAnsi="Times New Roman" w:cs="Times New Roman"/>
        </w:rPr>
      </w:pPr>
      <w:r w:rsidRPr="00C109DF">
        <w:rPr>
          <w:rFonts w:ascii="Times New Roman" w:hAnsi="Times New Roman" w:cs="Times New Roman"/>
        </w:rPr>
        <w:t xml:space="preserve">U.S. Food and Drug Administration (FDA), Department of </w:t>
      </w:r>
      <w:proofErr w:type="gramStart"/>
      <w:r w:rsidRPr="00C109DF">
        <w:rPr>
          <w:rFonts w:ascii="Times New Roman" w:hAnsi="Times New Roman" w:cs="Times New Roman"/>
        </w:rPr>
        <w:t>Health</w:t>
      </w:r>
      <w:proofErr w:type="gramEnd"/>
      <w:r w:rsidRPr="00C109DF">
        <w:rPr>
          <w:rFonts w:ascii="Times New Roman" w:hAnsi="Times New Roman" w:cs="Times New Roman"/>
        </w:rPr>
        <w:t xml:space="preserve"> and Human Services (HHS). 2015. </w:t>
      </w:r>
      <w:r w:rsidRPr="00C109DF">
        <w:rPr>
          <w:rFonts w:ascii="Times New Roman" w:hAnsi="Times New Roman" w:cs="Times New Roman"/>
          <w:i/>
          <w:iCs/>
        </w:rPr>
        <w:t>Current Good Manufacturing Practice, Hazard Analysis, and Risk-Based Preventive Controls for Human Food.</w:t>
      </w:r>
      <w:r w:rsidRPr="00C109DF">
        <w:rPr>
          <w:rFonts w:ascii="Times New Roman" w:hAnsi="Times New Roman" w:cs="Times New Roman"/>
        </w:rPr>
        <w:t xml:space="preserve"> Federal Register 80(180): 55908–56168. September 17, 2015. </w:t>
      </w:r>
      <w:hyperlink r:id="rId9" w:tgtFrame="_new" w:history="1">
        <w:r w:rsidRPr="00C109DF">
          <w:rPr>
            <w:rStyle w:val="Hyperlink"/>
            <w:rFonts w:ascii="Times New Roman" w:hAnsi="Times New Roman" w:cs="Times New Roman"/>
          </w:rPr>
          <w:t>https://www.federalregister.gov/documents/2015/09/17/2015-21920/current-good-manufacturing-practice-hazard-analysis-and-risk-based-preventive-controls-for-human</w:t>
        </w:r>
      </w:hyperlink>
    </w:p>
    <w:p w14:paraId="3CAF25A0" w14:textId="77777777" w:rsidR="00BA0340" w:rsidRPr="00EA1AAB" w:rsidRDefault="00BA0340" w:rsidP="00BA0340">
      <w:pPr>
        <w:spacing w:after="0" w:line="240" w:lineRule="auto"/>
        <w:rPr>
          <w:rFonts w:ascii="Times New Roman" w:hAnsi="Times New Roman" w:cs="Times New Roman"/>
        </w:rPr>
      </w:pPr>
    </w:p>
    <w:p w14:paraId="7C049D0E" w14:textId="77777777" w:rsidR="00BA0340" w:rsidRPr="00EA1AAB" w:rsidRDefault="00BA0340" w:rsidP="00BA0340">
      <w:pPr>
        <w:spacing w:after="0" w:line="240" w:lineRule="auto"/>
        <w:rPr>
          <w:rFonts w:ascii="Times New Roman" w:hAnsi="Times New Roman" w:cs="Times New Roman"/>
        </w:rPr>
      </w:pPr>
    </w:p>
    <w:p w14:paraId="19A3EDAE" w14:textId="77777777" w:rsidR="00BA0340" w:rsidRPr="00EA1AAB" w:rsidRDefault="00BA0340" w:rsidP="00BA0340">
      <w:pPr>
        <w:spacing w:after="0" w:line="240" w:lineRule="auto"/>
        <w:rPr>
          <w:rFonts w:ascii="Times New Roman" w:hAnsi="Times New Roman" w:cs="Times New Roman"/>
        </w:rPr>
      </w:pPr>
    </w:p>
    <w:p w14:paraId="38B8E1C9" w14:textId="77777777" w:rsidR="00BA0340" w:rsidRPr="00EA1AAB" w:rsidRDefault="00BA0340" w:rsidP="00BA0340">
      <w:pPr>
        <w:spacing w:after="0" w:line="240" w:lineRule="auto"/>
        <w:rPr>
          <w:rFonts w:ascii="Times New Roman" w:hAnsi="Times New Roman" w:cs="Times New Roman"/>
        </w:rPr>
      </w:pPr>
    </w:p>
    <w:sectPr w:rsidR="00BA0340" w:rsidRPr="00EA1AA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BF67" w14:textId="77777777" w:rsidR="00373A6C" w:rsidRDefault="00373A6C" w:rsidP="00785A86">
      <w:pPr>
        <w:spacing w:after="0" w:line="240" w:lineRule="auto"/>
      </w:pPr>
      <w:r>
        <w:separator/>
      </w:r>
    </w:p>
  </w:endnote>
  <w:endnote w:type="continuationSeparator" w:id="0">
    <w:p w14:paraId="3A7164A5" w14:textId="77777777" w:rsidR="00373A6C" w:rsidRDefault="00373A6C" w:rsidP="0078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A335" w14:textId="77777777" w:rsidR="00373A6C" w:rsidRDefault="00373A6C" w:rsidP="00785A86">
      <w:pPr>
        <w:spacing w:after="0" w:line="240" w:lineRule="auto"/>
      </w:pPr>
      <w:r>
        <w:separator/>
      </w:r>
    </w:p>
  </w:footnote>
  <w:footnote w:type="continuationSeparator" w:id="0">
    <w:p w14:paraId="038AC635" w14:textId="77777777" w:rsidR="00373A6C" w:rsidRDefault="00373A6C" w:rsidP="00785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A3FD" w14:textId="77777777" w:rsidR="00DE0292" w:rsidRDefault="00DE0292" w:rsidP="00A76FB2">
    <w:pPr>
      <w:pStyle w:val="Header"/>
      <w:jc w:val="center"/>
      <w:rPr>
        <w:rFonts w:ascii="Times New Roman" w:hAnsi="Times New Roman" w:cs="Times New Roman"/>
        <w:b/>
        <w:bCs/>
      </w:rPr>
    </w:pPr>
    <w:r w:rsidRPr="00DE0292">
      <w:rPr>
        <w:rFonts w:ascii="Times New Roman" w:hAnsi="Times New Roman" w:cs="Times New Roman"/>
        <w:b/>
        <w:bCs/>
      </w:rPr>
      <w:t>Hygienic Zoning in Food Processing and Packaging Facilities: A Foundational Approach to Food Safety</w:t>
    </w:r>
  </w:p>
  <w:p w14:paraId="172569ED" w14:textId="13ADCE2F" w:rsidR="00A76FB2" w:rsidRDefault="00A76FB2" w:rsidP="00A76FB2">
    <w:pPr>
      <w:pStyle w:val="Header"/>
      <w:jc w:val="center"/>
      <w:rPr>
        <w:rFonts w:ascii="Times New Roman" w:hAnsi="Times New Roman" w:cs="Times New Roman"/>
      </w:rPr>
    </w:pPr>
    <w:r w:rsidRPr="003223D8">
      <w:rPr>
        <w:rFonts w:ascii="Times New Roman" w:hAnsi="Times New Roman" w:cs="Times New Roman"/>
      </w:rPr>
      <w:t>Paul Priyesh, M.S., Ph.D.</w:t>
    </w:r>
  </w:p>
  <w:p w14:paraId="6BA47C0C" w14:textId="77777777" w:rsidR="00B230CB" w:rsidRDefault="00B230CB" w:rsidP="00A76FB2">
    <w:pPr>
      <w:pStyle w:val="Header"/>
      <w:jc w:val="center"/>
      <w:rPr>
        <w:rFonts w:ascii="Times New Roman" w:hAnsi="Times New Roman" w:cs="Times New Roman"/>
      </w:rPr>
    </w:pPr>
    <w:r>
      <w:rPr>
        <w:rFonts w:ascii="Times New Roman" w:hAnsi="Times New Roman" w:cs="Times New Roman"/>
      </w:rPr>
      <w:t xml:space="preserve">Animal and Food Sciences, M-G CAFÉ, </w:t>
    </w:r>
  </w:p>
  <w:p w14:paraId="6DD80FFE" w14:textId="29B6FA13" w:rsidR="00B230CB" w:rsidRPr="003223D8" w:rsidRDefault="00B230CB" w:rsidP="00A76FB2">
    <w:pPr>
      <w:pStyle w:val="Header"/>
      <w:jc w:val="center"/>
      <w:rPr>
        <w:rFonts w:ascii="Times New Roman" w:hAnsi="Times New Roman" w:cs="Times New Roman"/>
      </w:rPr>
    </w:pPr>
    <w:r>
      <w:rPr>
        <w:rFonts w:ascii="Times New Roman" w:hAnsi="Times New Roman" w:cs="Times New Roman"/>
      </w:rPr>
      <w:t>University of Kentukcy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F2D00"/>
    <w:multiLevelType w:val="multilevel"/>
    <w:tmpl w:val="07AE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E5DBD"/>
    <w:multiLevelType w:val="multilevel"/>
    <w:tmpl w:val="CEB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9017C"/>
    <w:multiLevelType w:val="multilevel"/>
    <w:tmpl w:val="2F345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DC59F0"/>
    <w:multiLevelType w:val="hybridMultilevel"/>
    <w:tmpl w:val="ABDA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D85F51"/>
    <w:multiLevelType w:val="multilevel"/>
    <w:tmpl w:val="DF08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11D4C"/>
    <w:multiLevelType w:val="multilevel"/>
    <w:tmpl w:val="3190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076672">
    <w:abstractNumId w:val="4"/>
  </w:num>
  <w:num w:numId="2" w16cid:durableId="211112331">
    <w:abstractNumId w:val="0"/>
  </w:num>
  <w:num w:numId="3" w16cid:durableId="1744521812">
    <w:abstractNumId w:val="5"/>
  </w:num>
  <w:num w:numId="4" w16cid:durableId="1158496430">
    <w:abstractNumId w:val="2"/>
  </w:num>
  <w:num w:numId="5" w16cid:durableId="110325160">
    <w:abstractNumId w:val="1"/>
  </w:num>
  <w:num w:numId="6" w16cid:durableId="1362825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98"/>
    <w:rsid w:val="000232D1"/>
    <w:rsid w:val="00066F73"/>
    <w:rsid w:val="000B2730"/>
    <w:rsid w:val="000B54A6"/>
    <w:rsid w:val="000C0298"/>
    <w:rsid w:val="000F1F95"/>
    <w:rsid w:val="00114575"/>
    <w:rsid w:val="001247C1"/>
    <w:rsid w:val="001F7801"/>
    <w:rsid w:val="00213528"/>
    <w:rsid w:val="0022087F"/>
    <w:rsid w:val="0023388A"/>
    <w:rsid w:val="002B1D7D"/>
    <w:rsid w:val="002E3855"/>
    <w:rsid w:val="002F12A3"/>
    <w:rsid w:val="00306F58"/>
    <w:rsid w:val="003223D8"/>
    <w:rsid w:val="00322D93"/>
    <w:rsid w:val="0032657A"/>
    <w:rsid w:val="00373A6C"/>
    <w:rsid w:val="003A27F1"/>
    <w:rsid w:val="003B6034"/>
    <w:rsid w:val="003C24A2"/>
    <w:rsid w:val="00401B65"/>
    <w:rsid w:val="004055C7"/>
    <w:rsid w:val="00407A94"/>
    <w:rsid w:val="00421BAF"/>
    <w:rsid w:val="00430BAE"/>
    <w:rsid w:val="00433F68"/>
    <w:rsid w:val="00440A8C"/>
    <w:rsid w:val="00463DE6"/>
    <w:rsid w:val="00473B1F"/>
    <w:rsid w:val="00483A8F"/>
    <w:rsid w:val="004C4AC2"/>
    <w:rsid w:val="004E0781"/>
    <w:rsid w:val="00500650"/>
    <w:rsid w:val="00510E03"/>
    <w:rsid w:val="005224B4"/>
    <w:rsid w:val="00532BC7"/>
    <w:rsid w:val="005372AA"/>
    <w:rsid w:val="00576918"/>
    <w:rsid w:val="00596BBF"/>
    <w:rsid w:val="005C2038"/>
    <w:rsid w:val="00606B0F"/>
    <w:rsid w:val="0060733D"/>
    <w:rsid w:val="006232F6"/>
    <w:rsid w:val="00627B4F"/>
    <w:rsid w:val="00666A36"/>
    <w:rsid w:val="006733B2"/>
    <w:rsid w:val="00680ABA"/>
    <w:rsid w:val="00682E1D"/>
    <w:rsid w:val="006A5EE1"/>
    <w:rsid w:val="006C328E"/>
    <w:rsid w:val="006F29AB"/>
    <w:rsid w:val="00723F4D"/>
    <w:rsid w:val="00727656"/>
    <w:rsid w:val="0074181B"/>
    <w:rsid w:val="0077548C"/>
    <w:rsid w:val="00783894"/>
    <w:rsid w:val="00785A86"/>
    <w:rsid w:val="007A5737"/>
    <w:rsid w:val="007D32FE"/>
    <w:rsid w:val="00801E89"/>
    <w:rsid w:val="008A46C8"/>
    <w:rsid w:val="008E1209"/>
    <w:rsid w:val="00920134"/>
    <w:rsid w:val="0099596C"/>
    <w:rsid w:val="0099648E"/>
    <w:rsid w:val="00997344"/>
    <w:rsid w:val="009A7C93"/>
    <w:rsid w:val="00A3727D"/>
    <w:rsid w:val="00A546F0"/>
    <w:rsid w:val="00A76FB2"/>
    <w:rsid w:val="00AF2812"/>
    <w:rsid w:val="00B1695D"/>
    <w:rsid w:val="00B230CB"/>
    <w:rsid w:val="00B3254B"/>
    <w:rsid w:val="00B44797"/>
    <w:rsid w:val="00B5528E"/>
    <w:rsid w:val="00B9192A"/>
    <w:rsid w:val="00BA0340"/>
    <w:rsid w:val="00BD5747"/>
    <w:rsid w:val="00C02A84"/>
    <w:rsid w:val="00C0435D"/>
    <w:rsid w:val="00C109DF"/>
    <w:rsid w:val="00C2646E"/>
    <w:rsid w:val="00C3162E"/>
    <w:rsid w:val="00C32CB8"/>
    <w:rsid w:val="00C333F9"/>
    <w:rsid w:val="00C4321B"/>
    <w:rsid w:val="00C46F11"/>
    <w:rsid w:val="00CE0380"/>
    <w:rsid w:val="00D07E48"/>
    <w:rsid w:val="00D10098"/>
    <w:rsid w:val="00DB11D0"/>
    <w:rsid w:val="00DC6C97"/>
    <w:rsid w:val="00DE0292"/>
    <w:rsid w:val="00DE52DC"/>
    <w:rsid w:val="00E215F5"/>
    <w:rsid w:val="00E506BC"/>
    <w:rsid w:val="00E54C56"/>
    <w:rsid w:val="00E7629B"/>
    <w:rsid w:val="00EA05B8"/>
    <w:rsid w:val="00EA1AAB"/>
    <w:rsid w:val="00F109C3"/>
    <w:rsid w:val="00F12046"/>
    <w:rsid w:val="00F303CD"/>
    <w:rsid w:val="00F32267"/>
    <w:rsid w:val="00F36A1C"/>
    <w:rsid w:val="00F376BC"/>
    <w:rsid w:val="00FA50F2"/>
    <w:rsid w:val="00FE106D"/>
    <w:rsid w:val="00FE66E5"/>
    <w:rsid w:val="00FF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C417"/>
  <w15:chartTrackingRefBased/>
  <w15:docId w15:val="{47D98100-6340-4044-8EB6-9A679946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098"/>
    <w:rPr>
      <w:rFonts w:eastAsiaTheme="majorEastAsia" w:cstheme="majorBidi"/>
      <w:color w:val="272727" w:themeColor="text1" w:themeTint="D8"/>
    </w:rPr>
  </w:style>
  <w:style w:type="paragraph" w:styleId="Title">
    <w:name w:val="Title"/>
    <w:basedOn w:val="Normal"/>
    <w:next w:val="Normal"/>
    <w:link w:val="TitleChar"/>
    <w:uiPriority w:val="10"/>
    <w:qFormat/>
    <w:rsid w:val="00D10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098"/>
    <w:pPr>
      <w:spacing w:before="160"/>
      <w:jc w:val="center"/>
    </w:pPr>
    <w:rPr>
      <w:i/>
      <w:iCs/>
      <w:color w:val="404040" w:themeColor="text1" w:themeTint="BF"/>
    </w:rPr>
  </w:style>
  <w:style w:type="character" w:customStyle="1" w:styleId="QuoteChar">
    <w:name w:val="Quote Char"/>
    <w:basedOn w:val="DefaultParagraphFont"/>
    <w:link w:val="Quote"/>
    <w:uiPriority w:val="29"/>
    <w:rsid w:val="00D10098"/>
    <w:rPr>
      <w:i/>
      <w:iCs/>
      <w:color w:val="404040" w:themeColor="text1" w:themeTint="BF"/>
    </w:rPr>
  </w:style>
  <w:style w:type="paragraph" w:styleId="ListParagraph">
    <w:name w:val="List Paragraph"/>
    <w:basedOn w:val="Normal"/>
    <w:uiPriority w:val="34"/>
    <w:qFormat/>
    <w:rsid w:val="00D10098"/>
    <w:pPr>
      <w:ind w:left="720"/>
      <w:contextualSpacing/>
    </w:pPr>
  </w:style>
  <w:style w:type="character" w:styleId="IntenseEmphasis">
    <w:name w:val="Intense Emphasis"/>
    <w:basedOn w:val="DefaultParagraphFont"/>
    <w:uiPriority w:val="21"/>
    <w:qFormat/>
    <w:rsid w:val="00D10098"/>
    <w:rPr>
      <w:i/>
      <w:iCs/>
      <w:color w:val="0F4761" w:themeColor="accent1" w:themeShade="BF"/>
    </w:rPr>
  </w:style>
  <w:style w:type="paragraph" w:styleId="IntenseQuote">
    <w:name w:val="Intense Quote"/>
    <w:basedOn w:val="Normal"/>
    <w:next w:val="Normal"/>
    <w:link w:val="IntenseQuoteChar"/>
    <w:uiPriority w:val="30"/>
    <w:qFormat/>
    <w:rsid w:val="00D10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098"/>
    <w:rPr>
      <w:i/>
      <w:iCs/>
      <w:color w:val="0F4761" w:themeColor="accent1" w:themeShade="BF"/>
    </w:rPr>
  </w:style>
  <w:style w:type="character" w:styleId="IntenseReference">
    <w:name w:val="Intense Reference"/>
    <w:basedOn w:val="DefaultParagraphFont"/>
    <w:uiPriority w:val="32"/>
    <w:qFormat/>
    <w:rsid w:val="00D10098"/>
    <w:rPr>
      <w:b/>
      <w:bCs/>
      <w:smallCaps/>
      <w:color w:val="0F4761" w:themeColor="accent1" w:themeShade="BF"/>
      <w:spacing w:val="5"/>
    </w:rPr>
  </w:style>
  <w:style w:type="paragraph" w:styleId="NormalWeb">
    <w:name w:val="Normal (Web)"/>
    <w:basedOn w:val="Normal"/>
    <w:uiPriority w:val="99"/>
    <w:semiHidden/>
    <w:unhideWhenUsed/>
    <w:rsid w:val="002E38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E3855"/>
    <w:rPr>
      <w:color w:val="0000FF"/>
      <w:u w:val="single"/>
    </w:rPr>
  </w:style>
  <w:style w:type="paragraph" w:styleId="Header">
    <w:name w:val="header"/>
    <w:basedOn w:val="Normal"/>
    <w:link w:val="HeaderChar"/>
    <w:uiPriority w:val="99"/>
    <w:unhideWhenUsed/>
    <w:rsid w:val="00785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A86"/>
  </w:style>
  <w:style w:type="paragraph" w:styleId="Footer">
    <w:name w:val="footer"/>
    <w:basedOn w:val="Normal"/>
    <w:link w:val="FooterChar"/>
    <w:uiPriority w:val="99"/>
    <w:unhideWhenUsed/>
    <w:rsid w:val="00785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A86"/>
  </w:style>
  <w:style w:type="table" w:styleId="TableGrid">
    <w:name w:val="Table Grid"/>
    <w:basedOn w:val="TableNormal"/>
    <w:uiPriority w:val="39"/>
    <w:rsid w:val="009A7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657A"/>
    <w:rPr>
      <w:color w:val="605E5C"/>
      <w:shd w:val="clear" w:color="auto" w:fill="E1DFDD"/>
    </w:rPr>
  </w:style>
  <w:style w:type="character" w:styleId="FollowedHyperlink">
    <w:name w:val="FollowedHyperlink"/>
    <w:basedOn w:val="DefaultParagraphFont"/>
    <w:uiPriority w:val="99"/>
    <w:semiHidden/>
    <w:unhideWhenUsed/>
    <w:rsid w:val="00A372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5/09/17/2015-21920/current-good-manufacturing-practice-hazard-analysis-and-risk-based-preventive-controls-for-human" TargetMode="External"/><Relationship Id="rId3" Type="http://schemas.openxmlformats.org/officeDocument/2006/relationships/settings" Target="settings.xml"/><Relationship Id="rId7" Type="http://schemas.openxmlformats.org/officeDocument/2006/relationships/hyperlink" Target="https://www.fda.gov/regulatory-information/search-fda-guidance-documents/draft-guidance-industry-control-listeria-monocytogenes-ready-eat-foo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ederalregister.gov/documents/2015/09/17/2015-21920/current-good-manufacturing-practice-hazard-analysis-and-risk-based-preventive-controls-for-h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1631</Words>
  <Characters>10276</Characters>
  <Application>Microsoft Office Word</Application>
  <DocSecurity>0</DocSecurity>
  <Lines>193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Priyesh, Paul V.</dc:creator>
  <cp:keywords/>
  <dc:description/>
  <cp:lastModifiedBy>Priyesh, Paul V.</cp:lastModifiedBy>
  <cp:revision>140</cp:revision>
  <dcterms:created xsi:type="dcterms:W3CDTF">2026-03-07T03:21:00Z</dcterms:created>
  <dcterms:modified xsi:type="dcterms:W3CDTF">2026-03-19T19:49:00Z</dcterms:modified>
</cp:coreProperties>
</file>