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48273" w14:textId="2D087747" w:rsidR="00A27501" w:rsidRDefault="00A27501" w:rsidP="00CE788C">
      <w:pPr>
        <w:spacing w:line="360" w:lineRule="auto"/>
        <w:rPr>
          <w:b/>
          <w:bCs/>
        </w:rPr>
      </w:pPr>
      <w:r w:rsidRPr="00CE788C">
        <w:rPr>
          <w:b/>
          <w:bCs/>
        </w:rPr>
        <w:t>Sensors and</w:t>
      </w:r>
      <w:r w:rsidR="00CC276B" w:rsidRPr="00CE788C">
        <w:rPr>
          <w:b/>
          <w:bCs/>
        </w:rPr>
        <w:t xml:space="preserve"> Tools</w:t>
      </w:r>
      <w:r w:rsidRPr="00CE788C">
        <w:rPr>
          <w:b/>
          <w:bCs/>
        </w:rPr>
        <w:t xml:space="preserve"> for Evaluating</w:t>
      </w:r>
      <w:r w:rsidR="00C33DF2" w:rsidRPr="00CE788C">
        <w:rPr>
          <w:b/>
          <w:bCs/>
        </w:rPr>
        <w:t xml:space="preserve"> Controlled Environment </w:t>
      </w:r>
      <w:r w:rsidR="005E6EDA" w:rsidRPr="00CE788C">
        <w:rPr>
          <w:b/>
          <w:bCs/>
        </w:rPr>
        <w:t xml:space="preserve">(CEA) </w:t>
      </w:r>
      <w:r w:rsidRPr="00CE788C">
        <w:rPr>
          <w:b/>
          <w:bCs/>
        </w:rPr>
        <w:t>Production</w:t>
      </w:r>
      <w:r w:rsidR="00CC276B" w:rsidRPr="00CE788C">
        <w:rPr>
          <w:b/>
          <w:bCs/>
        </w:rPr>
        <w:t>: A Catalog for Extension Agents</w:t>
      </w:r>
      <w:r w:rsidR="00CE788C">
        <w:rPr>
          <w:b/>
          <w:bCs/>
        </w:rPr>
        <w:t xml:space="preserve"> and Growers </w:t>
      </w:r>
    </w:p>
    <w:p w14:paraId="4F761DC9" w14:textId="29332B46" w:rsidR="00C1732A" w:rsidRPr="00CE788C" w:rsidRDefault="00C1732A" w:rsidP="00C1732A">
      <w:pPr>
        <w:spacing w:line="360" w:lineRule="auto"/>
        <w:jc w:val="center"/>
        <w:rPr>
          <w:b/>
          <w:bCs/>
        </w:rPr>
      </w:pPr>
      <w:r>
        <w:rPr>
          <w:b/>
          <w:bCs/>
        </w:rPr>
        <w:t xml:space="preserve">Kelly </w:t>
      </w:r>
      <w:proofErr w:type="gramStart"/>
      <w:r>
        <w:rPr>
          <w:b/>
          <w:bCs/>
        </w:rPr>
        <w:t xml:space="preserve">Bryant </w:t>
      </w:r>
      <w:r>
        <w:rPr>
          <w:b/>
          <w:bCs/>
        </w:rPr>
        <w:t>,</w:t>
      </w:r>
      <w:proofErr w:type="gramEnd"/>
      <w:r>
        <w:rPr>
          <w:b/>
          <w:bCs/>
        </w:rPr>
        <w:t xml:space="preserve"> </w:t>
      </w:r>
      <w:proofErr w:type="spellStart"/>
      <w:r>
        <w:rPr>
          <w:b/>
          <w:bCs/>
        </w:rPr>
        <w:t>Arundathi</w:t>
      </w:r>
      <w:proofErr w:type="spellEnd"/>
      <w:r>
        <w:rPr>
          <w:b/>
          <w:bCs/>
        </w:rPr>
        <w:t xml:space="preserve"> Sharma and Qinglu Ying</w:t>
      </w:r>
    </w:p>
    <w:p w14:paraId="590D8C84" w14:textId="437292D2" w:rsidR="004976F9" w:rsidRDefault="004976F9" w:rsidP="00CE788C">
      <w:pPr>
        <w:spacing w:line="360" w:lineRule="auto"/>
      </w:pPr>
      <w:r w:rsidRPr="004976F9">
        <w:t>Season extension is widely adopted in intensive horticultural production across Kentucky, but it often comes with a steep learning curve. Even experienced growers may need to “re-learn” how to manage familiar crops when they are grown under</w:t>
      </w:r>
      <w:r>
        <w:t xml:space="preserve"> protection</w:t>
      </w:r>
      <w:r w:rsidRPr="004976F9">
        <w:t>. To fully realize the benefits of season extension, covered or protected production systems require management practices that differ substantially from those used in open-field production. Among these, understanding and routinely monitoring the crop and growing environment is one of the most fundamental requirements for success</w:t>
      </w:r>
      <w:r w:rsidR="00A31DA1">
        <w:t xml:space="preserve">. </w:t>
      </w:r>
    </w:p>
    <w:p w14:paraId="37BD7A8E" w14:textId="51C47F7A" w:rsidR="002A6C78" w:rsidRPr="00CE788C" w:rsidRDefault="00E2446B" w:rsidP="00CE788C">
      <w:pPr>
        <w:spacing w:line="360" w:lineRule="auto"/>
      </w:pPr>
      <w:r w:rsidRPr="00CE788C">
        <w:t>This publication serves as an index of portable</w:t>
      </w:r>
      <w:r w:rsidR="00602697" w:rsidRPr="00CE788C">
        <w:t xml:space="preserve"> tools that </w:t>
      </w:r>
      <w:r w:rsidR="00446102" w:rsidRPr="00CE788C">
        <w:t>County Extension Agents</w:t>
      </w:r>
      <w:r w:rsidR="00627F8C">
        <w:t xml:space="preserve"> and </w:t>
      </w:r>
      <w:r w:rsidR="009E2333" w:rsidRPr="00CE788C">
        <w:t>controlled environment agriculture (CEA)</w:t>
      </w:r>
      <w:r w:rsidR="009E2333">
        <w:t xml:space="preserve"> </w:t>
      </w:r>
      <w:r w:rsidR="00627F8C">
        <w:t>growers</w:t>
      </w:r>
      <w:r w:rsidR="00446102" w:rsidRPr="00CE788C">
        <w:t xml:space="preserve"> may find useful for assessing </w:t>
      </w:r>
      <w:r w:rsidR="00D335C4" w:rsidRPr="00CE788C">
        <w:t>indoor growing environments, including low/caterpillar tunnels, high tunnels,</w:t>
      </w:r>
      <w:r w:rsidR="00CC66E7">
        <w:t xml:space="preserve"> and fully con</w:t>
      </w:r>
      <w:r w:rsidR="00A31DA1">
        <w:t>trolled</w:t>
      </w:r>
      <w:r w:rsidR="00D335C4" w:rsidRPr="00CE788C">
        <w:t xml:space="preserve"> greenhouses</w:t>
      </w:r>
      <w:r w:rsidR="005B54A5" w:rsidRPr="00CE788C">
        <w:t>.</w:t>
      </w:r>
      <w:r w:rsidR="00052CC8" w:rsidRPr="00CE788C">
        <w:t xml:space="preserve"> </w:t>
      </w:r>
      <w:r w:rsidR="00AB5A85" w:rsidRPr="00CE788C">
        <w:t xml:space="preserve">Regardless of the specific production setting, </w:t>
      </w:r>
      <w:r w:rsidR="003A196B" w:rsidRPr="00CE788C">
        <w:t>e</w:t>
      </w:r>
      <w:r w:rsidR="00052CC8" w:rsidRPr="00CE788C">
        <w:t>nvironmental parameters that are particularly useful for Kentucky growers to track include</w:t>
      </w:r>
      <w:r w:rsidR="007A251A" w:rsidRPr="00CE788C">
        <w:t xml:space="preserve"> </w:t>
      </w:r>
      <w:r w:rsidR="00350470">
        <w:t xml:space="preserve">water and </w:t>
      </w:r>
      <w:r w:rsidR="007A251A" w:rsidRPr="00CE788C">
        <w:t>substrate</w:t>
      </w:r>
      <w:r w:rsidR="00D70973" w:rsidRPr="00CE788C">
        <w:t xml:space="preserve"> pH/EC</w:t>
      </w:r>
      <w:r w:rsidR="00350470">
        <w:t>, temperature, relative humidity and</w:t>
      </w:r>
      <w:r w:rsidR="00D70973" w:rsidRPr="00CE788C">
        <w:t xml:space="preserve"> light</w:t>
      </w:r>
      <w:r w:rsidR="00B93221" w:rsidRPr="00CE788C">
        <w:t xml:space="preserve"> levels</w:t>
      </w:r>
      <w:r w:rsidR="00350470">
        <w:t xml:space="preserve"> (Fig. 1)</w:t>
      </w:r>
      <w:r w:rsidR="002A6C78" w:rsidRPr="00CE788C">
        <w:t>.</w:t>
      </w:r>
      <w:r w:rsidR="00A17C20" w:rsidRPr="00CE788C">
        <w:t xml:space="preserve"> </w:t>
      </w:r>
      <w:r w:rsidR="00BF4493" w:rsidRPr="00CE788C">
        <w:t>The tools in this list can</w:t>
      </w:r>
      <w:r w:rsidR="00110CC9" w:rsidRPr="00CE788C">
        <w:t xml:space="preserve"> </w:t>
      </w:r>
      <w:r w:rsidR="00C5178A" w:rsidRPr="00CE788C">
        <w:t xml:space="preserve">be used </w:t>
      </w:r>
      <w:r w:rsidR="00BF4493" w:rsidRPr="00CE788C">
        <w:t>for immediate technical assistance</w:t>
      </w:r>
      <w:r w:rsidR="00C5178A" w:rsidRPr="00CE788C">
        <w:t xml:space="preserve"> at </w:t>
      </w:r>
      <w:r w:rsidR="005820AF">
        <w:t xml:space="preserve">grower </w:t>
      </w:r>
      <w:r w:rsidR="00C5178A" w:rsidRPr="00CE788C">
        <w:t>sites,</w:t>
      </w:r>
      <w:r w:rsidR="00ED51D5" w:rsidRPr="00CE788C">
        <w:t xml:space="preserve"> short-term equipment loans to </w:t>
      </w:r>
      <w:r w:rsidR="005820AF">
        <w:t>growers</w:t>
      </w:r>
      <w:r w:rsidR="00ED51D5" w:rsidRPr="00CE788C">
        <w:t>,</w:t>
      </w:r>
      <w:r w:rsidR="00C5178A" w:rsidRPr="00CE788C">
        <w:t xml:space="preserve"> as well as </w:t>
      </w:r>
      <w:r w:rsidR="00C97D2C" w:rsidRPr="00CE788C">
        <w:t xml:space="preserve">for </w:t>
      </w:r>
      <w:r w:rsidR="005820AF">
        <w:t xml:space="preserve">education and </w:t>
      </w:r>
      <w:r w:rsidR="00A17C20" w:rsidRPr="00CE788C">
        <w:t xml:space="preserve">demonstrations at County Extension </w:t>
      </w:r>
      <w:r w:rsidR="005820AF">
        <w:t>programs</w:t>
      </w:r>
      <w:r w:rsidR="00C97D2C" w:rsidRPr="00CE788C">
        <w:t xml:space="preserve">. </w:t>
      </w:r>
    </w:p>
    <w:p w14:paraId="5C1AC99F" w14:textId="04E0BF1C" w:rsidR="009E2333" w:rsidRDefault="00006440" w:rsidP="00CE788C">
      <w:pPr>
        <w:spacing w:line="360" w:lineRule="auto"/>
      </w:pPr>
      <w:r w:rsidRPr="00CE788C">
        <w:t>Please note that this publication does not specifically endorse any products. Instead, the examples provided are intended to highlight key environmental parameters to monitor and the features Extension agents should consider when evaluating portable tools.</w:t>
      </w:r>
    </w:p>
    <w:p w14:paraId="542F93DE" w14:textId="0AC9003D" w:rsidR="00155D63" w:rsidRDefault="00213340" w:rsidP="00CE788C">
      <w:pPr>
        <w:spacing w:line="360" w:lineRule="auto"/>
      </w:pPr>
      <w:r w:rsidRPr="00CE788C">
        <w:rPr>
          <w:noProof/>
        </w:rPr>
        <w:lastRenderedPageBreak/>
        <w:drawing>
          <wp:inline distT="0" distB="0" distL="0" distR="0" wp14:anchorId="0D0216E2" wp14:editId="44FDFA21">
            <wp:extent cx="5293335" cy="2541181"/>
            <wp:effectExtent l="0" t="0" r="0" b="0"/>
            <wp:docPr id="1724240452" name="Picture 2" descr="A diagram of a greenhouse monitoring to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40452" name="Picture 2" descr="A diagram of a greenhouse monitoring tools&#10;&#10;Description automatically generated"/>
                    <pic:cNvPicPr/>
                  </pic:nvPicPr>
                  <pic:blipFill rotWithShape="1">
                    <a:blip r:embed="rId5">
                      <a:extLst>
                        <a:ext uri="{28A0092B-C50C-407E-A947-70E740481C1C}">
                          <a14:useLocalDpi xmlns:a14="http://schemas.microsoft.com/office/drawing/2010/main" val="0"/>
                        </a:ext>
                      </a:extLst>
                    </a:blip>
                    <a:srcRect l="8845" t="28285" r="7090" b="15980"/>
                    <a:stretch/>
                  </pic:blipFill>
                  <pic:spPr bwMode="auto">
                    <a:xfrm>
                      <a:off x="0" y="0"/>
                      <a:ext cx="5352318" cy="2569497"/>
                    </a:xfrm>
                    <a:prstGeom prst="rect">
                      <a:avLst/>
                    </a:prstGeom>
                    <a:ln>
                      <a:noFill/>
                    </a:ln>
                    <a:extLst>
                      <a:ext uri="{53640926-AAD7-44D8-BBD7-CCE9431645EC}">
                        <a14:shadowObscured xmlns:a14="http://schemas.microsoft.com/office/drawing/2010/main"/>
                      </a:ext>
                    </a:extLst>
                  </pic:spPr>
                </pic:pic>
              </a:graphicData>
            </a:graphic>
          </wp:inline>
        </w:drawing>
      </w:r>
    </w:p>
    <w:p w14:paraId="376EDB12" w14:textId="778673FD" w:rsidR="00460E7D" w:rsidRPr="00CE788C" w:rsidRDefault="00460E7D" w:rsidP="00CE788C">
      <w:pPr>
        <w:spacing w:line="360" w:lineRule="auto"/>
      </w:pPr>
      <w:r>
        <w:t>Figure 1. Key environmental parameters to monitor for controlled environment agriculture (CEA) systems</w:t>
      </w:r>
    </w:p>
    <w:p w14:paraId="712C008F" w14:textId="48D11C30" w:rsidR="002A6C78" w:rsidRPr="00CE788C" w:rsidRDefault="002A6C78" w:rsidP="00CE788C">
      <w:pPr>
        <w:spacing w:line="360" w:lineRule="auto"/>
        <w:rPr>
          <w:b/>
          <w:bCs/>
        </w:rPr>
      </w:pPr>
      <w:r w:rsidRPr="00CE788C">
        <w:rPr>
          <w:b/>
          <w:bCs/>
        </w:rPr>
        <w:t>Root-Zone pH</w:t>
      </w:r>
      <w:r w:rsidR="00805A0A">
        <w:rPr>
          <w:b/>
          <w:bCs/>
        </w:rPr>
        <w:t xml:space="preserve"> and </w:t>
      </w:r>
      <w:r w:rsidRPr="00CE788C">
        <w:rPr>
          <w:b/>
          <w:bCs/>
        </w:rPr>
        <w:t>EC</w:t>
      </w:r>
      <w:r w:rsidR="003A5340" w:rsidRPr="00CE788C">
        <w:rPr>
          <w:b/>
          <w:bCs/>
        </w:rPr>
        <w:t xml:space="preserve"> </w:t>
      </w:r>
      <w:r w:rsidR="00805A0A">
        <w:rPr>
          <w:b/>
          <w:bCs/>
        </w:rPr>
        <w:t xml:space="preserve">Monitoring </w:t>
      </w:r>
    </w:p>
    <w:p w14:paraId="7E35B4A4" w14:textId="16DEF0F8" w:rsidR="004E4455" w:rsidRPr="00CE788C" w:rsidRDefault="004E4455" w:rsidP="00CE788C">
      <w:pPr>
        <w:spacing w:line="360" w:lineRule="auto"/>
      </w:pPr>
      <w:r w:rsidRPr="00CE788C">
        <w:t xml:space="preserve">Root-zone pH and electrical conductivity (EC) are two of the most critical parameters for managing </w:t>
      </w:r>
      <w:r w:rsidR="00805A0A">
        <w:t xml:space="preserve">the root-zone environments of </w:t>
      </w:r>
      <w:r w:rsidRPr="00CE788C">
        <w:t>greenhouse crops. They directly affect nutrient availability, uptake efficiency, and overall plant health. Even small deviations can have large impacts on growth and yield.</w:t>
      </w:r>
    </w:p>
    <w:p w14:paraId="645D953F" w14:textId="12532CF9" w:rsidR="004E4455" w:rsidRPr="00CE788C" w:rsidRDefault="00AF2B11" w:rsidP="00CE788C">
      <w:pPr>
        <w:spacing w:line="360" w:lineRule="auto"/>
      </w:pPr>
      <w:r w:rsidRPr="00CE788C">
        <w:t>For instance, if the root-zone pH rises above 6.5, micronutrients such as iron, manganese, and zinc become less available, leading to deficiency symptoms like interveinal chlorosis. Conversely, a pH below 5.5 can interfere with calcium and magnesium uptake and increase the solubility of potentially toxic elements.</w:t>
      </w:r>
      <w:r w:rsidR="00554EEC" w:rsidRPr="00CE788C">
        <w:t xml:space="preserve"> In Kentucky, irrigation water </w:t>
      </w:r>
      <w:r w:rsidR="009238B0" w:rsidRPr="00CE788C">
        <w:t>can have</w:t>
      </w:r>
      <w:r w:rsidR="00554EEC" w:rsidRPr="00CE788C">
        <w:t xml:space="preserve"> pH above 7.0, and in some areas, it can reach 7.5 or higher due to naturally high bicarbonate alkalinity.</w:t>
      </w:r>
      <w:r w:rsidR="00761247" w:rsidRPr="00CE788C">
        <w:t xml:space="preserve"> This means that without adjustment, the water tends to raise substrate pH over time</w:t>
      </w:r>
      <w:r w:rsidR="007C58C8" w:rsidRPr="00CE788C">
        <w:t>, a</w:t>
      </w:r>
      <w:r w:rsidR="00761247" w:rsidRPr="00CE788C">
        <w:t>ffect</w:t>
      </w:r>
      <w:r w:rsidR="007C58C8" w:rsidRPr="00CE788C">
        <w:t>ing</w:t>
      </w:r>
      <w:r w:rsidR="00761247" w:rsidRPr="00CE788C">
        <w:t xml:space="preserve"> nutrient availability</w:t>
      </w:r>
      <w:r w:rsidR="007C58C8" w:rsidRPr="00CE788C">
        <w:t xml:space="preserve"> and plant performance</w:t>
      </w:r>
      <w:r w:rsidR="00761247" w:rsidRPr="00CE788C">
        <w:t xml:space="preserve">. </w:t>
      </w:r>
      <w:r w:rsidR="00BA1C9A" w:rsidRPr="00CE788C">
        <w:t xml:space="preserve">Growers using well water or municipal water with high alkalinity </w:t>
      </w:r>
      <w:r w:rsidR="00BC5030" w:rsidRPr="00CE788C">
        <w:t xml:space="preserve">may </w:t>
      </w:r>
      <w:r w:rsidR="00BA1C9A" w:rsidRPr="00CE788C">
        <w:t xml:space="preserve">need to acidify their irrigation water using </w:t>
      </w:r>
      <w:r w:rsidR="007D4580">
        <w:t xml:space="preserve">acids (e.g., </w:t>
      </w:r>
      <w:r w:rsidR="00BA1C9A" w:rsidRPr="00CE788C">
        <w:t>phosphoric, nitric, or sulfuric acid</w:t>
      </w:r>
      <w:r w:rsidR="007D4580">
        <w:t>)</w:t>
      </w:r>
      <w:r w:rsidR="00BA1C9A" w:rsidRPr="00CE788C">
        <w:t xml:space="preserve"> to maintain a stable root-zone pH between 5.5 and 6.5. Regularly measuring both </w:t>
      </w:r>
      <w:r w:rsidR="00BC5030" w:rsidRPr="00CE788C">
        <w:t xml:space="preserve">fertigation </w:t>
      </w:r>
      <w:r w:rsidR="00BA1C9A" w:rsidRPr="00CE788C">
        <w:t xml:space="preserve">water and leachate pH helps </w:t>
      </w:r>
      <w:r w:rsidR="00BA1C9A" w:rsidRPr="00CE788C">
        <w:lastRenderedPageBreak/>
        <w:t>confirm that acid injection or nutrient management strategies are effectively controlling pH at the crop root zone.</w:t>
      </w:r>
    </w:p>
    <w:p w14:paraId="0E383C31" w14:textId="29B3217D" w:rsidR="00F808C7" w:rsidRDefault="00A76F0D" w:rsidP="00CE788C">
      <w:pPr>
        <w:spacing w:line="360" w:lineRule="auto"/>
      </w:pPr>
      <w:r w:rsidRPr="00CE788C">
        <w:t>EC indicates the total concentration of soluble salts—essentially how much fertilizer is available to the plants. Excessive EC can cause osmotic stress and tip burn, while low EC can result in nutrient deficiencies and reduced growth.</w:t>
      </w:r>
      <w:r w:rsidR="00EE785C" w:rsidRPr="00CE788C">
        <w:t xml:space="preserve"> Monitoring </w:t>
      </w:r>
      <w:r w:rsidR="0058138B" w:rsidRPr="00CE788C">
        <w:t xml:space="preserve">EC </w:t>
      </w:r>
      <w:r w:rsidR="00F808C7" w:rsidRPr="00CE788C">
        <w:t xml:space="preserve">can confirm that fertilizer programs are supplying nutrients at the intended concentration and that salts are not accumulating to harmful levels, </w:t>
      </w:r>
      <w:r w:rsidR="00793939" w:rsidRPr="00CE788C">
        <w:t>preventing over- and under-fertilization before planting and throughout the crop cycle</w:t>
      </w:r>
      <w:r w:rsidR="00D96444" w:rsidRPr="00CE788C">
        <w:t xml:space="preserve">. </w:t>
      </w:r>
    </w:p>
    <w:p w14:paraId="0310E695" w14:textId="77777777" w:rsidR="008D1756" w:rsidRDefault="008D1756" w:rsidP="00CE788C">
      <w:pPr>
        <w:spacing w:line="360" w:lineRule="auto"/>
      </w:pPr>
      <w:r w:rsidRPr="008D1756">
        <w:rPr>
          <w:u w:val="single"/>
        </w:rPr>
        <w:t>pH and EC monitoring meter</w:t>
      </w:r>
      <w:r w:rsidRPr="008D1756">
        <w:t xml:space="preserve"> </w:t>
      </w:r>
    </w:p>
    <w:p w14:paraId="437DD275" w14:textId="52A0EF80" w:rsidR="008D1756" w:rsidRDefault="008D1756" w:rsidP="00CE788C">
      <w:pPr>
        <w:spacing w:line="360" w:lineRule="auto"/>
      </w:pPr>
      <w:r>
        <w:t xml:space="preserve">A pH/EC/TDS/Temperature portable meter (such as </w:t>
      </w:r>
      <w:hyperlink r:id="rId6" w:history="1">
        <w:r w:rsidRPr="0004240A">
          <w:rPr>
            <w:rStyle w:val="Hyperlink"/>
          </w:rPr>
          <w:t>HI9813-51 from Hanna Instruments</w:t>
        </w:r>
      </w:hyperlink>
      <w:r>
        <w:t xml:space="preserve">) </w:t>
      </w:r>
      <w:r w:rsidRPr="00CE788C">
        <w:t>can be used to measure pH and EC in water, fertigation solutions and soilless substrates.</w:t>
      </w:r>
    </w:p>
    <w:p w14:paraId="72255DBC" w14:textId="6CD172B8" w:rsidR="00E50C8D" w:rsidRPr="008D1756" w:rsidRDefault="00E50C8D" w:rsidP="00CE788C">
      <w:pPr>
        <w:spacing w:line="360" w:lineRule="auto"/>
        <w:rPr>
          <w:u w:val="single"/>
        </w:rPr>
      </w:pPr>
      <w:r>
        <w:rPr>
          <w:noProof/>
        </w:rPr>
      </w:r>
      <w:r w:rsidR="00E50C8D">
        <w:rPr>
          <w:noProof/>
        </w:rPr>
        <w:pict w14:anchorId="3B3B4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pH/EC/TDS meter with HI1285-51 electrode - HI9813-51" style="position:absolute;margin-left:0;margin-top:.05pt;width:237.75pt;height:237.75pt;z-index:251663360;mso-wrap-edited:f;mso-width-percent:0;mso-height-percent:0;mso-position-horizontal-relative:text;mso-position-vertical-relative:text;mso-width-percent:0;mso-height-percent:0">
            <v:imagedata r:id="rId7" r:href="rId8"/>
            <w10:wrap type="square"/>
          </v:shape>
        </w:pict>
      </w:r>
    </w:p>
    <w:p w14:paraId="2E3BEA2E" w14:textId="77777777" w:rsidR="00E50C8D" w:rsidRDefault="00E50C8D" w:rsidP="00CE788C">
      <w:pPr>
        <w:spacing w:line="360" w:lineRule="auto"/>
        <w:rPr>
          <w:u w:val="single"/>
        </w:rPr>
      </w:pPr>
    </w:p>
    <w:p w14:paraId="3B091975" w14:textId="77777777" w:rsidR="00E50C8D" w:rsidRDefault="00E50C8D" w:rsidP="00CE788C">
      <w:pPr>
        <w:spacing w:line="360" w:lineRule="auto"/>
      </w:pPr>
    </w:p>
    <w:p w14:paraId="7CF8A248" w14:textId="5CBC334E" w:rsidR="00E50C8D" w:rsidRPr="00E50C8D" w:rsidRDefault="00E50C8D" w:rsidP="00CE788C">
      <w:pPr>
        <w:spacing w:line="360" w:lineRule="auto"/>
      </w:pPr>
      <w:r w:rsidRPr="00E50C8D">
        <w:t>Figure 2. An example pH and electrical conductivity (EC) meter for water and substrate pH and EC monitoring.</w:t>
      </w:r>
    </w:p>
    <w:p w14:paraId="063BDE3B" w14:textId="77777777" w:rsidR="00E50C8D" w:rsidRDefault="00E50C8D" w:rsidP="00CE788C">
      <w:pPr>
        <w:spacing w:line="360" w:lineRule="auto"/>
        <w:rPr>
          <w:u w:val="single"/>
        </w:rPr>
      </w:pPr>
    </w:p>
    <w:p w14:paraId="5BD9A9AC" w14:textId="77777777" w:rsidR="00E50C8D" w:rsidRDefault="00E50C8D" w:rsidP="00CE788C">
      <w:pPr>
        <w:spacing w:line="360" w:lineRule="auto"/>
        <w:rPr>
          <w:u w:val="single"/>
        </w:rPr>
      </w:pPr>
    </w:p>
    <w:p w14:paraId="371BE55F" w14:textId="77777777" w:rsidR="00E50C8D" w:rsidRDefault="00E50C8D" w:rsidP="00CE788C">
      <w:pPr>
        <w:spacing w:line="360" w:lineRule="auto"/>
        <w:rPr>
          <w:u w:val="single"/>
        </w:rPr>
      </w:pPr>
    </w:p>
    <w:p w14:paraId="1C865966" w14:textId="25C5FA31" w:rsidR="008D16F8" w:rsidRPr="00CE788C" w:rsidRDefault="008D16F8" w:rsidP="00CE788C">
      <w:pPr>
        <w:spacing w:line="360" w:lineRule="auto"/>
        <w:rPr>
          <w:u w:val="single"/>
        </w:rPr>
      </w:pPr>
      <w:r w:rsidRPr="00CE788C">
        <w:rPr>
          <w:u w:val="single"/>
        </w:rPr>
        <w:t xml:space="preserve">General use </w:t>
      </w:r>
    </w:p>
    <w:p w14:paraId="7CBE39E3" w14:textId="1DFE7FE5" w:rsidR="008A16C8" w:rsidRDefault="005D0500" w:rsidP="00CE788C">
      <w:pPr>
        <w:spacing w:line="360" w:lineRule="auto"/>
      </w:pPr>
      <w:r w:rsidRPr="00CE788C">
        <w:t xml:space="preserve">The </w:t>
      </w:r>
      <w:r w:rsidR="006C24A0" w:rsidRPr="00CE788C">
        <w:t xml:space="preserve">measuring frequency, </w:t>
      </w:r>
      <w:r w:rsidR="005D2CB5" w:rsidRPr="00CE788C">
        <w:t>methods</w:t>
      </w:r>
      <w:r w:rsidR="006C24A0" w:rsidRPr="00CE788C">
        <w:t>,</w:t>
      </w:r>
      <w:r w:rsidR="005D2CB5" w:rsidRPr="00CE788C">
        <w:t xml:space="preserve"> and expected ranges</w:t>
      </w:r>
      <w:r w:rsidR="006C24A0" w:rsidRPr="00CE788C">
        <w:t xml:space="preserve"> </w:t>
      </w:r>
      <w:r w:rsidR="005D2CB5" w:rsidRPr="00CE788C">
        <w:t xml:space="preserve">for </w:t>
      </w:r>
      <w:r w:rsidR="00FC2046">
        <w:t xml:space="preserve">pH and EC measurements in water, fertigation solutions and soilless substrates </w:t>
      </w:r>
      <w:r w:rsidR="005D2CB5" w:rsidRPr="00CE788C">
        <w:t xml:space="preserve">are summarized in Table 1. </w:t>
      </w:r>
    </w:p>
    <w:p w14:paraId="2DC060D0" w14:textId="77777777" w:rsidR="00E50C8D" w:rsidRPr="00CE788C" w:rsidRDefault="00E50C8D" w:rsidP="00CE788C">
      <w:pPr>
        <w:spacing w:line="360" w:lineRule="auto"/>
      </w:pPr>
    </w:p>
    <w:p w14:paraId="64059BB7" w14:textId="1BC86247" w:rsidR="00E810FC" w:rsidRPr="00CE788C" w:rsidRDefault="00E810FC" w:rsidP="00CE788C">
      <w:pPr>
        <w:spacing w:line="360" w:lineRule="auto"/>
      </w:pPr>
      <w:r w:rsidRPr="00CE788C">
        <w:lastRenderedPageBreak/>
        <w:t xml:space="preserve">Table 1. </w:t>
      </w:r>
      <w:r w:rsidR="003D6CF1" w:rsidRPr="00CE788C">
        <w:t xml:space="preserve">Recommended pH and EC monitoring methods and target </w:t>
      </w:r>
      <w:r w:rsidR="00617E04" w:rsidRPr="00CE788C">
        <w:t>r</w:t>
      </w:r>
      <w:r w:rsidR="003D6CF1" w:rsidRPr="00CE788C">
        <w:t xml:space="preserve">anges for common </w:t>
      </w:r>
      <w:r w:rsidR="00617E04" w:rsidRPr="00CE788C">
        <w:t>controlled environment production</w:t>
      </w:r>
      <w:r w:rsidR="003D6CF1" w:rsidRPr="00CE788C">
        <w:t xml:space="preserve"> inputs</w:t>
      </w:r>
    </w:p>
    <w:tbl>
      <w:tblPr>
        <w:tblStyle w:val="TableGridLight"/>
        <w:tblW w:w="0" w:type="auto"/>
        <w:tblLook w:val="04A0" w:firstRow="1" w:lastRow="0" w:firstColumn="1" w:lastColumn="0" w:noHBand="0" w:noVBand="1"/>
      </w:tblPr>
      <w:tblGrid>
        <w:gridCol w:w="2178"/>
        <w:gridCol w:w="5310"/>
        <w:gridCol w:w="1890"/>
      </w:tblGrid>
      <w:tr w:rsidR="00782F5B" w:rsidRPr="00CE788C" w14:paraId="205871F1" w14:textId="77777777" w:rsidTr="00B317CE">
        <w:trPr>
          <w:trHeight w:val="343"/>
        </w:trPr>
        <w:tc>
          <w:tcPr>
            <w:tcW w:w="2178" w:type="dxa"/>
          </w:tcPr>
          <w:p w14:paraId="14948F61" w14:textId="4254587D" w:rsidR="00782F5B" w:rsidRPr="00CE788C" w:rsidRDefault="00782F5B" w:rsidP="00CE788C">
            <w:pPr>
              <w:spacing w:line="360" w:lineRule="auto"/>
              <w:rPr>
                <w:b/>
                <w:bCs/>
              </w:rPr>
            </w:pPr>
            <w:r w:rsidRPr="00CE788C">
              <w:rPr>
                <w:b/>
                <w:bCs/>
              </w:rPr>
              <w:t>Source</w:t>
            </w:r>
            <w:r w:rsidR="00226F6E" w:rsidRPr="00CE788C">
              <w:rPr>
                <w:b/>
                <w:bCs/>
              </w:rPr>
              <w:t>/When to Use</w:t>
            </w:r>
          </w:p>
        </w:tc>
        <w:tc>
          <w:tcPr>
            <w:tcW w:w="5310" w:type="dxa"/>
          </w:tcPr>
          <w:p w14:paraId="224D2860" w14:textId="12489B0F" w:rsidR="00782F5B" w:rsidRPr="00CE788C" w:rsidRDefault="00782F5B" w:rsidP="00CE788C">
            <w:pPr>
              <w:spacing w:line="360" w:lineRule="auto"/>
              <w:rPr>
                <w:b/>
                <w:bCs/>
              </w:rPr>
            </w:pPr>
            <w:r w:rsidRPr="00CE788C">
              <w:rPr>
                <w:b/>
                <w:bCs/>
              </w:rPr>
              <w:t xml:space="preserve">Methods </w:t>
            </w:r>
          </w:p>
        </w:tc>
        <w:tc>
          <w:tcPr>
            <w:tcW w:w="1890" w:type="dxa"/>
          </w:tcPr>
          <w:p w14:paraId="363D9546" w14:textId="335A2EAC" w:rsidR="00782F5B" w:rsidRPr="00CE788C" w:rsidRDefault="00782F5B" w:rsidP="00CE788C">
            <w:pPr>
              <w:spacing w:line="360" w:lineRule="auto"/>
              <w:rPr>
                <w:b/>
                <w:bCs/>
              </w:rPr>
            </w:pPr>
            <w:r w:rsidRPr="00CE788C">
              <w:rPr>
                <w:b/>
                <w:bCs/>
              </w:rPr>
              <w:t>Expected range</w:t>
            </w:r>
            <w:r w:rsidR="00955951" w:rsidRPr="00CE788C">
              <w:rPr>
                <w:b/>
                <w:bCs/>
              </w:rPr>
              <w:t>s</w:t>
            </w:r>
            <w:r w:rsidRPr="00CE788C">
              <w:rPr>
                <w:b/>
                <w:bCs/>
              </w:rPr>
              <w:t xml:space="preserve"> </w:t>
            </w:r>
          </w:p>
        </w:tc>
      </w:tr>
      <w:tr w:rsidR="00782F5B" w:rsidRPr="00CE788C" w14:paraId="1EFCC234" w14:textId="77777777" w:rsidTr="00B317CE">
        <w:trPr>
          <w:trHeight w:val="365"/>
        </w:trPr>
        <w:tc>
          <w:tcPr>
            <w:tcW w:w="2178" w:type="dxa"/>
          </w:tcPr>
          <w:p w14:paraId="4743F80B" w14:textId="77777777" w:rsidR="00782F5B" w:rsidRPr="00CE788C" w:rsidRDefault="00782F5B" w:rsidP="00CE788C">
            <w:pPr>
              <w:spacing w:line="360" w:lineRule="auto"/>
            </w:pPr>
            <w:r w:rsidRPr="00CE788C">
              <w:t>Irrigation water</w:t>
            </w:r>
          </w:p>
          <w:p w14:paraId="7C17E8AA" w14:textId="71703187" w:rsidR="00782F5B" w:rsidRPr="00CE788C" w:rsidRDefault="00782F5B" w:rsidP="00CE788C">
            <w:pPr>
              <w:spacing w:line="360" w:lineRule="auto"/>
            </w:pPr>
            <w:r w:rsidRPr="00CE788C">
              <w:t>(measure before mixing fertilizer or when water sources change)</w:t>
            </w:r>
          </w:p>
        </w:tc>
        <w:tc>
          <w:tcPr>
            <w:tcW w:w="5310" w:type="dxa"/>
          </w:tcPr>
          <w:p w14:paraId="3C45B1DA" w14:textId="130B3EE0" w:rsidR="00782F5B" w:rsidRPr="00CE788C" w:rsidRDefault="00782F5B" w:rsidP="00CE788C">
            <w:pPr>
              <w:spacing w:line="360" w:lineRule="auto"/>
            </w:pPr>
            <w:r w:rsidRPr="00CE788C">
              <w:t>Collect a water sample in a clean plastic cup or beaker. Insert the pH and EC probes, gently stir, and wait for the readings to stabilize (typically 30–60 seconds).</w:t>
            </w:r>
          </w:p>
        </w:tc>
        <w:tc>
          <w:tcPr>
            <w:tcW w:w="1890" w:type="dxa"/>
          </w:tcPr>
          <w:p w14:paraId="6682B6FB" w14:textId="77777777" w:rsidR="00782F5B" w:rsidRPr="00CE788C" w:rsidRDefault="00782F5B" w:rsidP="00CE788C">
            <w:pPr>
              <w:spacing w:line="360" w:lineRule="auto"/>
            </w:pPr>
            <w:r w:rsidRPr="00CE788C">
              <w:t xml:space="preserve">pH: </w:t>
            </w:r>
            <w:r w:rsidR="00925A01" w:rsidRPr="00CE788C">
              <w:t>6.5-8.0</w:t>
            </w:r>
          </w:p>
          <w:p w14:paraId="10338688" w14:textId="2C5F00BF" w:rsidR="00925A01" w:rsidRPr="00CE788C" w:rsidRDefault="00925A01" w:rsidP="00CE788C">
            <w:pPr>
              <w:spacing w:line="360" w:lineRule="auto"/>
            </w:pPr>
            <w:r w:rsidRPr="00CE788C">
              <w:t>EC: &lt;0.5 mS/cm</w:t>
            </w:r>
          </w:p>
        </w:tc>
      </w:tr>
      <w:tr w:rsidR="00782F5B" w:rsidRPr="00CE788C" w14:paraId="644C9A7D" w14:textId="77777777" w:rsidTr="00B317CE">
        <w:trPr>
          <w:trHeight w:val="343"/>
        </w:trPr>
        <w:tc>
          <w:tcPr>
            <w:tcW w:w="2178" w:type="dxa"/>
          </w:tcPr>
          <w:p w14:paraId="61B2FCDC" w14:textId="2D732C6A" w:rsidR="00782F5B" w:rsidRPr="00CE788C" w:rsidRDefault="00AC46C8" w:rsidP="00CE788C">
            <w:pPr>
              <w:spacing w:line="360" w:lineRule="auto"/>
            </w:pPr>
            <w:r w:rsidRPr="00CE788C">
              <w:t>Nutrient solution (measure after mixing fertilizer and before it reaches the plants</w:t>
            </w:r>
            <w:r w:rsidR="004804A6" w:rsidRPr="00CE788C">
              <w:t>, and weekly throughout the crop cycle</w:t>
            </w:r>
            <w:r w:rsidRPr="00CE788C">
              <w:t xml:space="preserve">) </w:t>
            </w:r>
          </w:p>
        </w:tc>
        <w:tc>
          <w:tcPr>
            <w:tcW w:w="5310" w:type="dxa"/>
          </w:tcPr>
          <w:p w14:paraId="2A9B7810" w14:textId="4606AB63" w:rsidR="00782F5B" w:rsidRPr="00CE788C" w:rsidRDefault="00AC46C8" w:rsidP="00CE788C">
            <w:pPr>
              <w:spacing w:line="360" w:lineRule="auto"/>
            </w:pPr>
            <w:r w:rsidRPr="00CE788C">
              <w:t>Measure the final nutrient solution before it is delivered to the crop. Collect from the injector output or irrigation line</w:t>
            </w:r>
            <w:r w:rsidR="00EE74BE" w:rsidRPr="00CE788C">
              <w:t xml:space="preserve"> or directly measured in the reservoir of float bed or </w:t>
            </w:r>
            <w:r w:rsidR="001F0444" w:rsidRPr="00CE788C">
              <w:t xml:space="preserve">nutrient film technique (NFT) systems, </w:t>
            </w:r>
            <w:r w:rsidRPr="00CE788C">
              <w:t>ensuring the sample represents the solution being applied.</w:t>
            </w:r>
          </w:p>
        </w:tc>
        <w:tc>
          <w:tcPr>
            <w:tcW w:w="1890" w:type="dxa"/>
          </w:tcPr>
          <w:p w14:paraId="0F0BD4C2" w14:textId="3FB9AD76" w:rsidR="00BD139B" w:rsidRPr="00CE788C" w:rsidRDefault="00BD139B" w:rsidP="00CE788C">
            <w:pPr>
              <w:spacing w:line="360" w:lineRule="auto"/>
            </w:pPr>
            <w:r w:rsidRPr="00CE788C">
              <w:t xml:space="preserve">pH: 5.5–6.5 </w:t>
            </w:r>
          </w:p>
          <w:p w14:paraId="53EDE0F4" w14:textId="2593FAC3" w:rsidR="00BD139B" w:rsidRPr="00CE788C" w:rsidRDefault="00BD139B" w:rsidP="00CE788C">
            <w:pPr>
              <w:spacing w:line="360" w:lineRule="auto"/>
            </w:pPr>
            <w:r w:rsidRPr="00CE788C">
              <w:t>EC: 1.5–3.5 mS/cm depending on crops and crop stages</w:t>
            </w:r>
          </w:p>
          <w:p w14:paraId="74125199" w14:textId="77777777" w:rsidR="00782F5B" w:rsidRPr="00CE788C" w:rsidRDefault="00782F5B" w:rsidP="00CE788C">
            <w:pPr>
              <w:spacing w:line="360" w:lineRule="auto"/>
            </w:pPr>
          </w:p>
        </w:tc>
      </w:tr>
      <w:tr w:rsidR="00693BAA" w:rsidRPr="00CE788C" w14:paraId="6406E51B" w14:textId="77777777" w:rsidTr="00B317CE">
        <w:trPr>
          <w:trHeight w:val="97"/>
        </w:trPr>
        <w:tc>
          <w:tcPr>
            <w:tcW w:w="2178" w:type="dxa"/>
            <w:vMerge w:val="restart"/>
          </w:tcPr>
          <w:p w14:paraId="69CF92A3" w14:textId="7A8E38B5" w:rsidR="00693BAA" w:rsidRPr="00CE788C" w:rsidRDefault="00693BAA" w:rsidP="00CE788C">
            <w:pPr>
              <w:spacing w:line="360" w:lineRule="auto"/>
            </w:pPr>
            <w:r w:rsidRPr="00CE788C">
              <w:t>Soilless substrates (measure before and after fertilizer application, and weekly throughout the crop cycle)</w:t>
            </w:r>
          </w:p>
        </w:tc>
        <w:tc>
          <w:tcPr>
            <w:tcW w:w="5310" w:type="dxa"/>
          </w:tcPr>
          <w:p w14:paraId="1AA4D9FC" w14:textId="0A7CB3CB" w:rsidR="00693BAA" w:rsidRPr="00CE788C" w:rsidRDefault="00693BAA" w:rsidP="00CE788C">
            <w:pPr>
              <w:spacing w:line="360" w:lineRule="auto"/>
            </w:pPr>
            <w:r w:rsidRPr="00CE788C">
              <w:t xml:space="preserve">Using the pour through method: </w:t>
            </w:r>
          </w:p>
          <w:p w14:paraId="52AAEA92" w14:textId="4AA087B0" w:rsidR="00693BAA" w:rsidRPr="00CE788C" w:rsidRDefault="00693BAA" w:rsidP="00CE788C">
            <w:pPr>
              <w:pStyle w:val="ListParagraph"/>
              <w:numPr>
                <w:ilvl w:val="0"/>
                <w:numId w:val="3"/>
              </w:numPr>
              <w:spacing w:line="360" w:lineRule="auto"/>
            </w:pPr>
            <w:r w:rsidRPr="00CE788C">
              <w:t>Irrigate the container-grown plant with clear water until the substrate is evenly moist.</w:t>
            </w:r>
          </w:p>
          <w:p w14:paraId="01F5CCC4" w14:textId="0E94A570" w:rsidR="00693BAA" w:rsidRPr="00CE788C" w:rsidRDefault="00693BAA" w:rsidP="00CE788C">
            <w:pPr>
              <w:pStyle w:val="ListParagraph"/>
              <w:numPr>
                <w:ilvl w:val="0"/>
                <w:numId w:val="3"/>
              </w:numPr>
              <w:spacing w:line="360" w:lineRule="auto"/>
            </w:pPr>
            <w:r w:rsidRPr="00CE788C">
              <w:t>Wait 30–60 minutes.</w:t>
            </w:r>
          </w:p>
          <w:p w14:paraId="50A03532" w14:textId="77777777" w:rsidR="00693BAA" w:rsidRPr="00CE788C" w:rsidRDefault="00693BAA" w:rsidP="00CE788C">
            <w:pPr>
              <w:pStyle w:val="ListParagraph"/>
              <w:numPr>
                <w:ilvl w:val="0"/>
                <w:numId w:val="3"/>
              </w:numPr>
              <w:spacing w:line="360" w:lineRule="auto"/>
            </w:pPr>
            <w:r w:rsidRPr="00CE788C">
              <w:t xml:space="preserve">Pour a small amount (50–100 mL) of distilled or deionized water onto the substrate surface and collect the leachate from the bottom. </w:t>
            </w:r>
          </w:p>
          <w:p w14:paraId="4DBD39FE" w14:textId="5F7618BF" w:rsidR="00693BAA" w:rsidRPr="00CE788C" w:rsidRDefault="00693BAA" w:rsidP="00CE788C">
            <w:pPr>
              <w:pStyle w:val="ListParagraph"/>
              <w:numPr>
                <w:ilvl w:val="0"/>
                <w:numId w:val="3"/>
              </w:numPr>
              <w:spacing w:line="360" w:lineRule="auto"/>
            </w:pPr>
            <w:r w:rsidRPr="00CE788C">
              <w:t>Measure pH and EC of the leachate using the probes.</w:t>
            </w:r>
          </w:p>
          <w:p w14:paraId="5B396043" w14:textId="2AA35A9C" w:rsidR="00693BAA" w:rsidRPr="00CE788C" w:rsidRDefault="00693BAA" w:rsidP="00CE788C">
            <w:pPr>
              <w:spacing w:line="360" w:lineRule="auto"/>
            </w:pPr>
          </w:p>
        </w:tc>
        <w:tc>
          <w:tcPr>
            <w:tcW w:w="1890" w:type="dxa"/>
            <w:vMerge w:val="restart"/>
          </w:tcPr>
          <w:p w14:paraId="5761E247" w14:textId="77777777" w:rsidR="00693BAA" w:rsidRPr="00CE788C" w:rsidRDefault="00693BAA" w:rsidP="00CE788C">
            <w:pPr>
              <w:spacing w:line="360" w:lineRule="auto"/>
            </w:pPr>
            <w:r w:rsidRPr="00CE788C">
              <w:t xml:space="preserve">pH: 5.5 -6.5 </w:t>
            </w:r>
          </w:p>
          <w:p w14:paraId="0DC2D564" w14:textId="77777777" w:rsidR="006648D9" w:rsidRDefault="00693BAA" w:rsidP="00CE788C">
            <w:pPr>
              <w:spacing w:line="360" w:lineRule="auto"/>
            </w:pPr>
            <w:r w:rsidRPr="00CE788C">
              <w:t xml:space="preserve">EC: 1.0-5.0 mS/cm depending on crops, crop stages and </w:t>
            </w:r>
            <w:r w:rsidR="006648D9">
              <w:t xml:space="preserve">sampling </w:t>
            </w:r>
            <w:r w:rsidRPr="00CE788C">
              <w:t>methods.</w:t>
            </w:r>
            <w:r w:rsidR="006648D9">
              <w:t xml:space="preserve"> </w:t>
            </w:r>
          </w:p>
          <w:p w14:paraId="77F47EAB" w14:textId="62EF19DE" w:rsidR="00693BAA" w:rsidRPr="00CE788C" w:rsidRDefault="006648D9" w:rsidP="00CE788C">
            <w:pPr>
              <w:spacing w:line="360" w:lineRule="auto"/>
            </w:pPr>
            <w:r>
              <w:t xml:space="preserve">Pour through method is expected to have higher EC </w:t>
            </w:r>
            <w:r>
              <w:lastRenderedPageBreak/>
              <w:t xml:space="preserve">than 1:2 extraction </w:t>
            </w:r>
            <w:r w:rsidR="00693BAA" w:rsidRPr="00CE788C">
              <w:t xml:space="preserve"> </w:t>
            </w:r>
          </w:p>
        </w:tc>
      </w:tr>
      <w:tr w:rsidR="00693BAA" w:rsidRPr="00CE788C" w14:paraId="18DED4C8" w14:textId="77777777" w:rsidTr="00B317CE">
        <w:trPr>
          <w:trHeight w:val="343"/>
        </w:trPr>
        <w:tc>
          <w:tcPr>
            <w:tcW w:w="2178" w:type="dxa"/>
            <w:vMerge/>
          </w:tcPr>
          <w:p w14:paraId="779034EA" w14:textId="77777777" w:rsidR="00693BAA" w:rsidRPr="00CE788C" w:rsidRDefault="00693BAA" w:rsidP="00CE788C">
            <w:pPr>
              <w:spacing w:line="360" w:lineRule="auto"/>
            </w:pPr>
          </w:p>
        </w:tc>
        <w:tc>
          <w:tcPr>
            <w:tcW w:w="5310" w:type="dxa"/>
          </w:tcPr>
          <w:p w14:paraId="359CABD7" w14:textId="7F5B2383" w:rsidR="00693BAA" w:rsidRPr="00CE788C" w:rsidRDefault="00693BAA" w:rsidP="00CE788C">
            <w:pPr>
              <w:spacing w:line="360" w:lineRule="auto"/>
            </w:pPr>
            <w:r w:rsidRPr="00CE788C">
              <w:t>Using the 1:2 extract</w:t>
            </w:r>
            <w:r w:rsidR="006648D9">
              <w:t>ion</w:t>
            </w:r>
            <w:r w:rsidRPr="00CE788C">
              <w:t xml:space="preserve"> method: </w:t>
            </w:r>
          </w:p>
          <w:p w14:paraId="71F75942" w14:textId="21385F85" w:rsidR="00693BAA" w:rsidRPr="00CE788C" w:rsidRDefault="00693BAA" w:rsidP="00CE788C">
            <w:pPr>
              <w:pStyle w:val="ListParagraph"/>
              <w:numPr>
                <w:ilvl w:val="0"/>
                <w:numId w:val="4"/>
              </w:numPr>
              <w:spacing w:line="360" w:lineRule="auto"/>
            </w:pPr>
            <w:r w:rsidRPr="00CE788C">
              <w:t>Collect a small sample of substrate (about 1 part by volume).</w:t>
            </w:r>
          </w:p>
          <w:p w14:paraId="3928258C" w14:textId="045DF1F7" w:rsidR="00693BAA" w:rsidRPr="00CE788C" w:rsidRDefault="00693BAA" w:rsidP="00CE788C">
            <w:pPr>
              <w:pStyle w:val="ListParagraph"/>
              <w:numPr>
                <w:ilvl w:val="0"/>
                <w:numId w:val="4"/>
              </w:numPr>
              <w:spacing w:line="360" w:lineRule="auto"/>
            </w:pPr>
            <w:r w:rsidRPr="00CE788C">
              <w:t xml:space="preserve">Mix with two parts distilled water (2:1 </w:t>
            </w:r>
            <w:proofErr w:type="gramStart"/>
            <w:r w:rsidRPr="00CE788C">
              <w:t>water :</w:t>
            </w:r>
            <w:proofErr w:type="gramEnd"/>
            <w:r w:rsidRPr="00CE788C">
              <w:t xml:space="preserve"> substrate).</w:t>
            </w:r>
          </w:p>
          <w:p w14:paraId="724AFBBA" w14:textId="463129A1" w:rsidR="00693BAA" w:rsidRPr="00CE788C" w:rsidRDefault="00693BAA" w:rsidP="00CE788C">
            <w:pPr>
              <w:pStyle w:val="ListParagraph"/>
              <w:numPr>
                <w:ilvl w:val="0"/>
                <w:numId w:val="4"/>
              </w:numPr>
              <w:spacing w:line="360" w:lineRule="auto"/>
            </w:pPr>
            <w:r w:rsidRPr="00CE788C">
              <w:t xml:space="preserve">Stir, let sit for 30 minutes, and then measure the pH and EC by swirling the probe into the solution. </w:t>
            </w:r>
          </w:p>
        </w:tc>
        <w:tc>
          <w:tcPr>
            <w:tcW w:w="1890" w:type="dxa"/>
            <w:vMerge/>
          </w:tcPr>
          <w:p w14:paraId="64EFEED5" w14:textId="77777777" w:rsidR="00693BAA" w:rsidRPr="00CE788C" w:rsidRDefault="00693BAA" w:rsidP="00CE788C">
            <w:pPr>
              <w:spacing w:line="360" w:lineRule="auto"/>
            </w:pPr>
          </w:p>
        </w:tc>
      </w:tr>
    </w:tbl>
    <w:p w14:paraId="0E3A53C3" w14:textId="13B198E0" w:rsidR="00CA6573" w:rsidRPr="00CE788C" w:rsidRDefault="00CA6573" w:rsidP="00CE788C">
      <w:pPr>
        <w:spacing w:line="360" w:lineRule="auto"/>
      </w:pPr>
    </w:p>
    <w:p w14:paraId="5035637F" w14:textId="460D30A9" w:rsidR="00482FB7" w:rsidRPr="00CE788C" w:rsidRDefault="00482FB7" w:rsidP="00CE788C">
      <w:pPr>
        <w:spacing w:line="360" w:lineRule="auto"/>
        <w:rPr>
          <w:u w:val="single"/>
        </w:rPr>
      </w:pPr>
      <w:r w:rsidRPr="00CE788C">
        <w:rPr>
          <w:u w:val="single"/>
        </w:rPr>
        <w:t>Maintenance (calibration</w:t>
      </w:r>
      <w:r w:rsidR="003B59BE" w:rsidRPr="00CE788C">
        <w:rPr>
          <w:u w:val="single"/>
        </w:rPr>
        <w:t>, storage solution</w:t>
      </w:r>
      <w:r w:rsidRPr="00CE788C">
        <w:rPr>
          <w:u w:val="single"/>
        </w:rPr>
        <w:t>)</w:t>
      </w:r>
    </w:p>
    <w:p w14:paraId="4F102EDB" w14:textId="28B46210" w:rsidR="00C11AC7" w:rsidRPr="00CE788C" w:rsidRDefault="00C11AC7" w:rsidP="00CE788C">
      <w:pPr>
        <w:spacing w:line="360" w:lineRule="auto"/>
      </w:pPr>
      <w:r w:rsidRPr="00CE788C">
        <w:t>Proper maintenance is essential for accurate pH and EC measurements and long probe life. Always follow the manufacturer’s manual or calibration, cleaning, and storage procedures. When using a new probe or one that has been unused for a long period, soak it in the recommended storage solution for at least one hour before use to rehydrate the electrode. Regular calibration is critical using standard buffer</w:t>
      </w:r>
      <w:r w:rsidR="00DC5B62" w:rsidRPr="00CE788C">
        <w:t xml:space="preserve"> solutions and</w:t>
      </w:r>
      <w:r w:rsidRPr="00CE788C">
        <w:t xml:space="preserve"> standard EC calibration solution</w:t>
      </w:r>
      <w:r w:rsidR="00DC5B62" w:rsidRPr="00CE788C">
        <w:t>s</w:t>
      </w:r>
      <w:r w:rsidRPr="00CE788C">
        <w:t>. After each measurement, rinse probes with distilled water to remove residue, gently blot dry, and store the pH probe in a proper storage solution (never in distilled water). Keeping the probes clean, calibrated, and properly stored ensures consistent and reliable readings over time.</w:t>
      </w:r>
    </w:p>
    <w:p w14:paraId="118A1E55" w14:textId="4B963C8F" w:rsidR="00482FB7" w:rsidRPr="00CE788C" w:rsidRDefault="0074293E" w:rsidP="00CE788C">
      <w:pPr>
        <w:spacing w:line="360" w:lineRule="auto"/>
        <w:rPr>
          <w:u w:val="single"/>
        </w:rPr>
      </w:pPr>
      <w:r w:rsidRPr="00CE788C">
        <w:rPr>
          <w:u w:val="single"/>
        </w:rPr>
        <w:t>Cost</w:t>
      </w:r>
      <w:r w:rsidR="00203D04" w:rsidRPr="00CE788C">
        <w:rPr>
          <w:u w:val="single"/>
        </w:rPr>
        <w:t xml:space="preserve"> and alternatives</w:t>
      </w:r>
    </w:p>
    <w:p w14:paraId="0770D29D" w14:textId="77777777" w:rsidR="00203D04" w:rsidRPr="00CE788C" w:rsidRDefault="00203D04" w:rsidP="00CE788C">
      <w:pPr>
        <w:spacing w:before="100" w:beforeAutospacing="1" w:after="100" w:afterAutospacing="1" w:line="360" w:lineRule="auto"/>
      </w:pPr>
      <w:r w:rsidRPr="00CE788C">
        <w:t>Reliable handheld pH and EC combination meters from reputable manufacturers typically cost $150–$300. Cheaper options are available but are generally not recommended due to inconsistent accuracy and shorter lifespan. These handheld meters are ideal tools for county agents, who can use them during site visits to provide growers with quick, preliminary assessments of water and nutrient solution quality.</w:t>
      </w:r>
    </w:p>
    <w:p w14:paraId="0E4C984C" w14:textId="77777777" w:rsidR="00203D04" w:rsidRPr="00CE788C" w:rsidRDefault="00203D04" w:rsidP="00CE788C">
      <w:pPr>
        <w:spacing w:before="100" w:beforeAutospacing="1" w:after="100" w:afterAutospacing="1" w:line="360" w:lineRule="auto"/>
      </w:pPr>
      <w:r w:rsidRPr="00CE788C">
        <w:t>For large-scale greenhouse operations, continuous monitoring systems with data logging and automatic dosing features are available at higher cost but offer the advantage of real-</w:t>
      </w:r>
      <w:r w:rsidRPr="00CE788C">
        <w:lastRenderedPageBreak/>
        <w:t>time control and reduced labor. For smaller operations or educational demonstrations, color-change test strips and simple test kits can provide rough pH estimates but lack the precision needed for management decisions.</w:t>
      </w:r>
    </w:p>
    <w:p w14:paraId="2B7B451F" w14:textId="77777777" w:rsidR="00203D04" w:rsidRPr="00CE788C" w:rsidRDefault="00203D04" w:rsidP="00CE788C">
      <w:pPr>
        <w:spacing w:before="100" w:beforeAutospacing="1" w:after="100" w:afterAutospacing="1" w:line="360" w:lineRule="auto"/>
      </w:pPr>
      <w:r w:rsidRPr="00CE788C">
        <w:t>Growers are encouraged to work with their local county Extension agents or submit periodic samples to the University of Kentucky Regulatory Services Laboratory to confirm meter readings, assess alkalinity, and evaluate overall nutrient balance. Regular verification helps ensure that pH and EC management strategies remain accurate and effective over time.</w:t>
      </w:r>
    </w:p>
    <w:p w14:paraId="1E0AE96D" w14:textId="731CFF35" w:rsidR="006F1C63" w:rsidRPr="00CE788C" w:rsidRDefault="001E5A7C" w:rsidP="00CE788C">
      <w:pPr>
        <w:spacing w:line="360" w:lineRule="auto"/>
      </w:pPr>
      <w:r w:rsidRPr="00CE788C">
        <w:rPr>
          <w:b/>
          <w:bCs/>
        </w:rPr>
        <w:t>Light</w:t>
      </w:r>
      <w:r w:rsidR="00805A0A">
        <w:rPr>
          <w:b/>
          <w:bCs/>
        </w:rPr>
        <w:t xml:space="preserve"> Monitoring </w:t>
      </w:r>
    </w:p>
    <w:p w14:paraId="1ED98630" w14:textId="34C11AB8" w:rsidR="006F1C63" w:rsidRPr="00CE788C" w:rsidRDefault="00224360" w:rsidP="00CE788C">
      <w:pPr>
        <w:spacing w:line="360" w:lineRule="auto"/>
      </w:pPr>
      <w:r w:rsidRPr="00CE788C">
        <w:t xml:space="preserve">Light levels are often </w:t>
      </w:r>
      <w:r w:rsidR="00DF7B83" w:rsidRPr="00CE788C">
        <w:t xml:space="preserve">one of </w:t>
      </w:r>
      <w:r w:rsidRPr="00CE788C">
        <w:t xml:space="preserve">the </w:t>
      </w:r>
      <w:r w:rsidR="00DF7B83" w:rsidRPr="00CE788C">
        <w:t>most important</w:t>
      </w:r>
      <w:r w:rsidR="00045FFA" w:rsidRPr="00CE788C">
        <w:t xml:space="preserve"> </w:t>
      </w:r>
      <w:r w:rsidR="00DE1449" w:rsidRPr="00CE788C">
        <w:t>factors</w:t>
      </w:r>
      <w:r w:rsidR="00FD4D54" w:rsidRPr="00CE788C">
        <w:t xml:space="preserve"> contributing to </w:t>
      </w:r>
      <w:r w:rsidR="00045FFA" w:rsidRPr="00CE788C">
        <w:t>plant</w:t>
      </w:r>
      <w:r w:rsidRPr="00CE788C">
        <w:t xml:space="preserve"> growth</w:t>
      </w:r>
      <w:r w:rsidR="00FD4D54" w:rsidRPr="00CE788C">
        <w:t>, development and yield</w:t>
      </w:r>
      <w:r w:rsidRPr="00CE788C">
        <w:t xml:space="preserve"> that growers </w:t>
      </w:r>
      <w:r w:rsidR="00AD5B24" w:rsidRPr="00CE788C">
        <w:t xml:space="preserve">manage actively </w:t>
      </w:r>
      <w:r w:rsidRPr="00CE788C">
        <w:t>in the greenhouse</w:t>
      </w:r>
      <w:r w:rsidR="00657251" w:rsidRPr="00CE788C">
        <w:t>.</w:t>
      </w:r>
      <w:r w:rsidR="006A5C91" w:rsidRPr="00CE788C">
        <w:t xml:space="preserve"> </w:t>
      </w:r>
      <w:r w:rsidR="008907F9" w:rsidRPr="00CE788C">
        <w:t xml:space="preserve">However, </w:t>
      </w:r>
      <w:r w:rsidR="006A5C91" w:rsidRPr="00CE788C">
        <w:t xml:space="preserve">light is one of the most </w:t>
      </w:r>
      <w:r w:rsidR="000A54BE" w:rsidRPr="00CE788C">
        <w:t>capital- and energy- intensive</w:t>
      </w:r>
      <w:r w:rsidR="006A5C91" w:rsidRPr="00CE788C">
        <w:t xml:space="preserve"> </w:t>
      </w:r>
      <w:r w:rsidR="001E59B2" w:rsidRPr="00CE788C">
        <w:t>subsystems</w:t>
      </w:r>
      <w:r w:rsidR="002473F7" w:rsidRPr="00CE788C">
        <w:t>,</w:t>
      </w:r>
      <w:r w:rsidR="006303AB" w:rsidRPr="00CE788C">
        <w:t xml:space="preserve"> </w:t>
      </w:r>
      <w:r w:rsidR="000A54BE" w:rsidRPr="00CE788C">
        <w:t xml:space="preserve">posing a particular challenge for greenhouse growers with </w:t>
      </w:r>
      <w:r w:rsidR="00273CA5" w:rsidRPr="00CE788C">
        <w:t>resource constraints</w:t>
      </w:r>
      <w:r w:rsidR="0021585A" w:rsidRPr="00CE788C">
        <w:t>.</w:t>
      </w:r>
      <w:r w:rsidR="007F2B71" w:rsidRPr="00CE788C">
        <w:t xml:space="preserve"> In this section, we will review </w:t>
      </w:r>
      <w:r w:rsidR="00617506" w:rsidRPr="00CE788C">
        <w:t xml:space="preserve">a) </w:t>
      </w:r>
      <w:r w:rsidR="00345857" w:rsidRPr="00CE788C">
        <w:t>when and why to measure light</w:t>
      </w:r>
      <w:r w:rsidR="0021585A" w:rsidRPr="00CE788C">
        <w:t xml:space="preserve"> and </w:t>
      </w:r>
      <w:r w:rsidR="00345857" w:rsidRPr="00CE788C">
        <w:t>b) how to measure light</w:t>
      </w:r>
      <w:r w:rsidR="00897875" w:rsidRPr="00CE788C">
        <w:t>, including resources suitable for County Agents.</w:t>
      </w:r>
    </w:p>
    <w:p w14:paraId="16B19267" w14:textId="4441E1EC" w:rsidR="009C7ED9" w:rsidRPr="00CE788C" w:rsidRDefault="003C466C" w:rsidP="00CE788C">
      <w:pPr>
        <w:spacing w:line="360" w:lineRule="auto"/>
      </w:pPr>
      <w:r w:rsidRPr="00CE788C">
        <w:t>Season extension</w:t>
      </w:r>
      <w:r w:rsidR="00F06944" w:rsidRPr="00CE788C">
        <w:t xml:space="preserve"> structures</w:t>
      </w:r>
      <w:r w:rsidRPr="00CE788C">
        <w:t xml:space="preserve">, </w:t>
      </w:r>
      <w:r w:rsidR="00F06944" w:rsidRPr="00CE788C">
        <w:t>such as frames, trusses, and glazing materials</w:t>
      </w:r>
      <w:r w:rsidRPr="00CE788C">
        <w:t xml:space="preserve">, </w:t>
      </w:r>
      <w:r w:rsidR="00F06944" w:rsidRPr="00CE788C">
        <w:t>naturally reduce the amount of sunlight that reaches the crop, limiting the light available for photosynthesis. This becomes especially important during winter and the shoulder seasons when daylength is short and natural light levels can drop to less than half of summer conditions. Under these low-light periods, growers who are heating their greenhouses may find that their crops become light-limited, slowing growth and reducing overall production efficiency</w:t>
      </w:r>
      <w:r w:rsidR="00C56550" w:rsidRPr="00CE788C">
        <w:t xml:space="preserve">. </w:t>
      </w:r>
      <w:r w:rsidR="00520511" w:rsidRPr="00CE788C">
        <w:t>In high tunnels and basic plastic greenhouses covered with polyethylene film, light transmission can be as high as 90% when the material is brand new. However, exposure to sunlight, age-related deterioration, mechanical wear, and the accumulation of dust or organic matter all contribute to reduced light transmission over time. Growers using these types of structures should routinely assess film condition and schedule periodic cleaning or replacement to maintain optimal light levels for crop growth.</w:t>
      </w:r>
    </w:p>
    <w:p w14:paraId="4989DB03" w14:textId="33A4B274" w:rsidR="002A1FD3" w:rsidRPr="00CE788C" w:rsidRDefault="00EF3F58" w:rsidP="00CE788C">
      <w:pPr>
        <w:spacing w:line="360" w:lineRule="auto"/>
      </w:pPr>
      <w:r w:rsidRPr="00CE788C">
        <w:lastRenderedPageBreak/>
        <w:t xml:space="preserve">Light levels cannot easily be estimated by perceived “brightness,” because the human eye </w:t>
      </w:r>
      <w:r w:rsidR="005405E7" w:rsidRPr="00CE788C">
        <w:t xml:space="preserve">responds to </w:t>
      </w:r>
      <w:r w:rsidR="00F6363B" w:rsidRPr="00CE788C">
        <w:t xml:space="preserve">the </w:t>
      </w:r>
      <w:r w:rsidR="005405E7" w:rsidRPr="00CE788C">
        <w:t>different wavelengths of light differently than plants</w:t>
      </w:r>
      <w:r w:rsidR="001C60B3" w:rsidRPr="00CE788C">
        <w:t xml:space="preserve"> do</w:t>
      </w:r>
      <w:r w:rsidR="005405E7" w:rsidRPr="00CE788C">
        <w:t>.</w:t>
      </w:r>
      <w:r w:rsidR="004F3DF8" w:rsidRPr="00CE788C">
        <w:t xml:space="preserve"> </w:t>
      </w:r>
      <w:r w:rsidR="001C60B3" w:rsidRPr="00CE788C">
        <w:t>M</w:t>
      </w:r>
      <w:r w:rsidR="002461EF" w:rsidRPr="00CE788C">
        <w:t xml:space="preserve">any </w:t>
      </w:r>
      <w:r w:rsidR="00FF12A0" w:rsidRPr="00CE788C">
        <w:t xml:space="preserve">highly variable </w:t>
      </w:r>
      <w:r w:rsidR="002461EF" w:rsidRPr="00CE788C">
        <w:t>factors (</w:t>
      </w:r>
      <w:r w:rsidR="00FF2640" w:rsidRPr="00CE788C">
        <w:t xml:space="preserve">e.g., </w:t>
      </w:r>
      <w:r w:rsidR="002461EF" w:rsidRPr="00CE788C">
        <w:t xml:space="preserve">weather, </w:t>
      </w:r>
      <w:r w:rsidR="00FF2640" w:rsidRPr="00CE788C">
        <w:t xml:space="preserve">sun-angle, physical obstructions) can affect </w:t>
      </w:r>
      <w:r w:rsidR="00FF12A0" w:rsidRPr="00CE788C">
        <w:t>the exact amount of sunlight reaching a given location at a time,</w:t>
      </w:r>
      <w:r w:rsidR="001C60B3" w:rsidRPr="00CE788C">
        <w:t xml:space="preserve"> so</w:t>
      </w:r>
      <w:r w:rsidR="00FF12A0" w:rsidRPr="00CE788C">
        <w:t xml:space="preserve"> </w:t>
      </w:r>
      <w:r w:rsidR="00956D36" w:rsidRPr="00CE788C">
        <w:t xml:space="preserve">if growers or agents believe light limitation could be affecting their crop, a light </w:t>
      </w:r>
      <w:r w:rsidR="00613D03" w:rsidRPr="00CE788C">
        <w:t>sensor is the best way to know.</w:t>
      </w:r>
      <w:r w:rsidR="007A1AFA" w:rsidRPr="00CE788C">
        <w:t xml:space="preserve"> </w:t>
      </w:r>
      <w:r w:rsidR="001221C8" w:rsidRPr="00CE788C">
        <w:t xml:space="preserve"> </w:t>
      </w:r>
      <w:r w:rsidR="007A1AFA" w:rsidRPr="00CE788C">
        <w:t>Light sensors and fixtures can come with many units</w:t>
      </w:r>
      <w:r w:rsidR="00172EE7" w:rsidRPr="00CE788C">
        <w:t xml:space="preserve"> and abbreviations</w:t>
      </w:r>
      <w:r w:rsidR="007A1AFA" w:rsidRPr="00CE788C">
        <w:t xml:space="preserve"> that may be </w:t>
      </w:r>
      <w:r w:rsidR="001221C8" w:rsidRPr="00CE788C">
        <w:t>confusing;</w:t>
      </w:r>
      <w:r w:rsidR="00EA08B2" w:rsidRPr="00CE788C">
        <w:t xml:space="preserve"> detailed information will be provided in another extension publication on </w:t>
      </w:r>
      <w:r w:rsidR="00155486" w:rsidRPr="00CE788C">
        <w:t>light consideration for controlled environment plant production.</w:t>
      </w:r>
      <w:r w:rsidR="001221C8" w:rsidRPr="00CE788C">
        <w:t xml:space="preserve"> </w:t>
      </w:r>
      <w:r w:rsidR="00C649A0" w:rsidRPr="00CE788C">
        <w:t xml:space="preserve">Table </w:t>
      </w:r>
      <w:r w:rsidR="00E810FC" w:rsidRPr="00CE788C">
        <w:t>2</w:t>
      </w:r>
      <w:r w:rsidR="00C649A0" w:rsidRPr="00CE788C">
        <w:t xml:space="preserve"> summarizes the key light metrics, units, measurement methods, and relevant conversions that growers should look for when evaluating reputable and reliable horticultural lighting technologies.</w:t>
      </w:r>
    </w:p>
    <w:p w14:paraId="32D41808" w14:textId="072410DB" w:rsidR="00172EE7" w:rsidRPr="00CE788C" w:rsidRDefault="00EE60DC" w:rsidP="00CE788C">
      <w:pPr>
        <w:spacing w:line="360" w:lineRule="auto"/>
      </w:pPr>
      <w:r w:rsidRPr="00CE788C">
        <w:t xml:space="preserve">Table </w:t>
      </w:r>
      <w:r w:rsidR="00E810FC" w:rsidRPr="00CE788C">
        <w:t>2</w:t>
      </w:r>
      <w:r w:rsidRPr="00CE788C">
        <w:t xml:space="preserve">. Common light </w:t>
      </w:r>
      <w:r w:rsidR="00C649A0" w:rsidRPr="00CE788C">
        <w:t>metrics, units, measurement methods, and relevant conversions.</w:t>
      </w:r>
    </w:p>
    <w:tbl>
      <w:tblPr>
        <w:tblStyle w:val="GridTable1Light"/>
        <w:tblW w:w="0" w:type="auto"/>
        <w:tblLook w:val="04A0" w:firstRow="1" w:lastRow="0" w:firstColumn="1" w:lastColumn="0" w:noHBand="0" w:noVBand="1"/>
      </w:tblPr>
      <w:tblGrid>
        <w:gridCol w:w="1857"/>
        <w:gridCol w:w="1581"/>
        <w:gridCol w:w="1483"/>
        <w:gridCol w:w="2331"/>
        <w:gridCol w:w="2324"/>
      </w:tblGrid>
      <w:tr w:rsidR="00CE788C" w:rsidRPr="00CE788C" w14:paraId="405DFEC8" w14:textId="48A913EE" w:rsidTr="001462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68B3D2CB" w14:textId="6975DB20" w:rsidR="00BD4686" w:rsidRPr="00CE788C" w:rsidRDefault="00BD4686" w:rsidP="00CE788C">
            <w:pPr>
              <w:spacing w:line="360" w:lineRule="auto"/>
            </w:pPr>
            <w:r w:rsidRPr="00CE788C">
              <w:t>Metric</w:t>
            </w:r>
            <w:r w:rsidR="00F75736" w:rsidRPr="00CE788C">
              <w:rPr>
                <w:vertAlign w:val="superscript"/>
              </w:rPr>
              <w:t>1</w:t>
            </w:r>
          </w:p>
        </w:tc>
        <w:tc>
          <w:tcPr>
            <w:tcW w:w="1581" w:type="dxa"/>
          </w:tcPr>
          <w:p w14:paraId="55AA9C79" w14:textId="1C188A91" w:rsidR="00BD4686" w:rsidRPr="00CE788C" w:rsidRDefault="00CE0F0B" w:rsidP="00CE788C">
            <w:pPr>
              <w:spacing w:line="360" w:lineRule="auto"/>
              <w:cnfStyle w:val="100000000000" w:firstRow="1" w:lastRow="0" w:firstColumn="0" w:lastColumn="0" w:oddVBand="0" w:evenVBand="0" w:oddHBand="0" w:evenHBand="0" w:firstRowFirstColumn="0" w:firstRowLastColumn="0" w:lastRowFirstColumn="0" w:lastRowLastColumn="0"/>
            </w:pPr>
            <w:r w:rsidRPr="00CE788C">
              <w:t>PPFD</w:t>
            </w:r>
            <w:r w:rsidR="001462C4" w:rsidRPr="00CE788C">
              <w:t>/PAR intensity</w:t>
            </w:r>
          </w:p>
        </w:tc>
        <w:tc>
          <w:tcPr>
            <w:tcW w:w="1483" w:type="dxa"/>
          </w:tcPr>
          <w:p w14:paraId="0D41A8EC" w14:textId="1576DE15" w:rsidR="00BD4686" w:rsidRPr="00CE788C" w:rsidRDefault="00BD4686" w:rsidP="00CE788C">
            <w:pPr>
              <w:spacing w:line="360" w:lineRule="auto"/>
              <w:cnfStyle w:val="100000000000" w:firstRow="1" w:lastRow="0" w:firstColumn="0" w:lastColumn="0" w:oddVBand="0" w:evenVBand="0" w:oddHBand="0" w:evenHBand="0" w:firstRowFirstColumn="0" w:firstRowLastColumn="0" w:lastRowFirstColumn="0" w:lastRowLastColumn="0"/>
            </w:pPr>
            <w:r w:rsidRPr="00CE788C">
              <w:t>DLI</w:t>
            </w:r>
          </w:p>
        </w:tc>
        <w:tc>
          <w:tcPr>
            <w:tcW w:w="2331" w:type="dxa"/>
          </w:tcPr>
          <w:p w14:paraId="2AFA2CD8" w14:textId="61F2752A" w:rsidR="00BD4686" w:rsidRPr="00CE788C" w:rsidRDefault="00BD4686" w:rsidP="00CE788C">
            <w:pPr>
              <w:spacing w:line="360" w:lineRule="auto"/>
              <w:cnfStyle w:val="100000000000" w:firstRow="1" w:lastRow="0" w:firstColumn="0" w:lastColumn="0" w:oddVBand="0" w:evenVBand="0" w:oddHBand="0" w:evenHBand="0" w:firstRowFirstColumn="0" w:firstRowLastColumn="0" w:lastRowFirstColumn="0" w:lastRowLastColumn="0"/>
            </w:pPr>
            <w:r w:rsidRPr="00CE788C">
              <w:t>Illuminance</w:t>
            </w:r>
          </w:p>
        </w:tc>
        <w:tc>
          <w:tcPr>
            <w:tcW w:w="2324" w:type="dxa"/>
          </w:tcPr>
          <w:p w14:paraId="722995A0" w14:textId="0AF9AF82" w:rsidR="00BD4686" w:rsidRPr="00CE788C" w:rsidRDefault="00BD4686" w:rsidP="00CE788C">
            <w:pPr>
              <w:spacing w:line="360" w:lineRule="auto"/>
              <w:cnfStyle w:val="100000000000" w:firstRow="1" w:lastRow="0" w:firstColumn="0" w:lastColumn="0" w:oddVBand="0" w:evenVBand="0" w:oddHBand="0" w:evenHBand="0" w:firstRowFirstColumn="0" w:firstRowLastColumn="0" w:lastRowFirstColumn="0" w:lastRowLastColumn="0"/>
            </w:pPr>
            <w:r w:rsidRPr="00CE788C">
              <w:t>Radiance</w:t>
            </w:r>
          </w:p>
        </w:tc>
      </w:tr>
      <w:tr w:rsidR="00CE788C" w:rsidRPr="00CE788C" w14:paraId="13C2FB99" w14:textId="2D798C54" w:rsidTr="001462C4">
        <w:tc>
          <w:tcPr>
            <w:cnfStyle w:val="001000000000" w:firstRow="0" w:lastRow="0" w:firstColumn="1" w:lastColumn="0" w:oddVBand="0" w:evenVBand="0" w:oddHBand="0" w:evenHBand="0" w:firstRowFirstColumn="0" w:firstRowLastColumn="0" w:lastRowFirstColumn="0" w:lastRowLastColumn="0"/>
            <w:tcW w:w="1857" w:type="dxa"/>
          </w:tcPr>
          <w:p w14:paraId="71040875" w14:textId="0AC95D5B" w:rsidR="00BD4686" w:rsidRPr="00CE788C" w:rsidRDefault="00BD4686" w:rsidP="00CE788C">
            <w:pPr>
              <w:spacing w:line="360" w:lineRule="auto"/>
            </w:pPr>
            <w:r w:rsidRPr="00CE788C">
              <w:t xml:space="preserve">Units </w:t>
            </w:r>
          </w:p>
        </w:tc>
        <w:tc>
          <w:tcPr>
            <w:tcW w:w="1581" w:type="dxa"/>
          </w:tcPr>
          <w:p w14:paraId="42C56D7C" w14:textId="25F918ED" w:rsidR="00BD4686" w:rsidRPr="00CE788C" w:rsidRDefault="00BD4686" w:rsidP="00CE788C">
            <w:pPr>
              <w:spacing w:line="360" w:lineRule="auto"/>
              <w:cnfStyle w:val="000000000000" w:firstRow="0" w:lastRow="0" w:firstColumn="0" w:lastColumn="0" w:oddVBand="0" w:evenVBand="0" w:oddHBand="0" w:evenHBand="0" w:firstRowFirstColumn="0" w:firstRowLastColumn="0" w:lastRowFirstColumn="0" w:lastRowLastColumn="0"/>
            </w:pPr>
            <w:r w:rsidRPr="00CE788C">
              <w:t>µmol/m</w:t>
            </w:r>
            <w:r w:rsidRPr="00CE788C">
              <w:rPr>
                <w:vertAlign w:val="superscript"/>
              </w:rPr>
              <w:t>2</w:t>
            </w:r>
            <w:r w:rsidRPr="00CE788C">
              <w:t>/s</w:t>
            </w:r>
          </w:p>
        </w:tc>
        <w:tc>
          <w:tcPr>
            <w:tcW w:w="1483" w:type="dxa"/>
          </w:tcPr>
          <w:p w14:paraId="2B0606FD" w14:textId="0598AEC4" w:rsidR="00BD4686" w:rsidRPr="00CE788C" w:rsidRDefault="00BD4686" w:rsidP="00CE788C">
            <w:pPr>
              <w:spacing w:line="360" w:lineRule="auto"/>
              <w:cnfStyle w:val="000000000000" w:firstRow="0" w:lastRow="0" w:firstColumn="0" w:lastColumn="0" w:oddVBand="0" w:evenVBand="0" w:oddHBand="0" w:evenHBand="0" w:firstRowFirstColumn="0" w:firstRowLastColumn="0" w:lastRowFirstColumn="0" w:lastRowLastColumn="0"/>
            </w:pPr>
            <w:r w:rsidRPr="00CE788C">
              <w:t>mol/m</w:t>
            </w:r>
            <w:r w:rsidRPr="00CE788C">
              <w:rPr>
                <w:vertAlign w:val="superscript"/>
              </w:rPr>
              <w:t>2</w:t>
            </w:r>
            <w:r w:rsidRPr="00CE788C">
              <w:t>/day</w:t>
            </w:r>
          </w:p>
        </w:tc>
        <w:tc>
          <w:tcPr>
            <w:tcW w:w="2331" w:type="dxa"/>
          </w:tcPr>
          <w:p w14:paraId="2146E2B1" w14:textId="64EF503E" w:rsidR="00BD4686" w:rsidRPr="00CE788C" w:rsidRDefault="00BD4686" w:rsidP="00CE788C">
            <w:pPr>
              <w:spacing w:line="360" w:lineRule="auto"/>
              <w:cnfStyle w:val="000000000000" w:firstRow="0" w:lastRow="0" w:firstColumn="0" w:lastColumn="0" w:oddVBand="0" w:evenVBand="0" w:oddHBand="0" w:evenHBand="0" w:firstRowFirstColumn="0" w:firstRowLastColumn="0" w:lastRowFirstColumn="0" w:lastRowLastColumn="0"/>
            </w:pPr>
            <w:r w:rsidRPr="00CE788C">
              <w:t xml:space="preserve">Lux or footcandle (FC) </w:t>
            </w:r>
          </w:p>
        </w:tc>
        <w:tc>
          <w:tcPr>
            <w:tcW w:w="2324" w:type="dxa"/>
          </w:tcPr>
          <w:p w14:paraId="5FF9F899" w14:textId="76E0E363" w:rsidR="00BD4686" w:rsidRPr="00CE788C" w:rsidRDefault="00BD4686" w:rsidP="00CE788C">
            <w:pPr>
              <w:spacing w:line="360" w:lineRule="auto"/>
              <w:cnfStyle w:val="000000000000" w:firstRow="0" w:lastRow="0" w:firstColumn="0" w:lastColumn="0" w:oddVBand="0" w:evenVBand="0" w:oddHBand="0" w:evenHBand="0" w:firstRowFirstColumn="0" w:firstRowLastColumn="0" w:lastRowFirstColumn="0" w:lastRowLastColumn="0"/>
            </w:pPr>
            <w:r w:rsidRPr="00CE788C">
              <w:t>W/m</w:t>
            </w:r>
            <w:r w:rsidR="00403C50" w:rsidRPr="00CE788C">
              <w:rPr>
                <w:vertAlign w:val="superscript"/>
              </w:rPr>
              <w:t>2</w:t>
            </w:r>
            <w:r w:rsidRPr="00CE788C">
              <w:t xml:space="preserve"> or Joule</w:t>
            </w:r>
            <w:r w:rsidR="00974867" w:rsidRPr="00CE788C">
              <w:t>/cm2/day</w:t>
            </w:r>
          </w:p>
        </w:tc>
      </w:tr>
      <w:tr w:rsidR="00190C77" w:rsidRPr="00CE788C" w14:paraId="5CE4D05A" w14:textId="7381C791" w:rsidTr="001462C4">
        <w:tc>
          <w:tcPr>
            <w:cnfStyle w:val="001000000000" w:firstRow="0" w:lastRow="0" w:firstColumn="1" w:lastColumn="0" w:oddVBand="0" w:evenVBand="0" w:oddHBand="0" w:evenHBand="0" w:firstRowFirstColumn="0" w:firstRowLastColumn="0" w:lastRowFirstColumn="0" w:lastRowLastColumn="0"/>
            <w:tcW w:w="1857" w:type="dxa"/>
          </w:tcPr>
          <w:p w14:paraId="3A3AD348" w14:textId="6D29431E" w:rsidR="00190C77" w:rsidRPr="00CE788C" w:rsidRDefault="00190C77" w:rsidP="00CE788C">
            <w:pPr>
              <w:spacing w:line="360" w:lineRule="auto"/>
            </w:pPr>
            <w:r w:rsidRPr="00CE788C">
              <w:t>Measurements</w:t>
            </w:r>
          </w:p>
        </w:tc>
        <w:tc>
          <w:tcPr>
            <w:tcW w:w="3064" w:type="dxa"/>
            <w:gridSpan w:val="2"/>
          </w:tcPr>
          <w:p w14:paraId="05A1C4F4" w14:textId="12B48C86" w:rsidR="00190C77" w:rsidRPr="00CE788C" w:rsidRDefault="00190C77" w:rsidP="00CE788C">
            <w:pPr>
              <w:spacing w:line="360" w:lineRule="auto"/>
              <w:cnfStyle w:val="000000000000" w:firstRow="0" w:lastRow="0" w:firstColumn="0" w:lastColumn="0" w:oddVBand="0" w:evenVBand="0" w:oddHBand="0" w:evenHBand="0" w:firstRowFirstColumn="0" w:firstRowLastColumn="0" w:lastRowFirstColumn="0" w:lastRowLastColumn="0"/>
            </w:pPr>
            <w:r w:rsidRPr="00CE788C">
              <w:t>Quantum sensors</w:t>
            </w:r>
          </w:p>
        </w:tc>
        <w:tc>
          <w:tcPr>
            <w:tcW w:w="2331" w:type="dxa"/>
          </w:tcPr>
          <w:p w14:paraId="2A0D7C9D" w14:textId="769D78B3" w:rsidR="00190C77" w:rsidRPr="00CE788C" w:rsidRDefault="00190C77" w:rsidP="00CE788C">
            <w:pPr>
              <w:spacing w:line="360" w:lineRule="auto"/>
              <w:cnfStyle w:val="000000000000" w:firstRow="0" w:lastRow="0" w:firstColumn="0" w:lastColumn="0" w:oddVBand="0" w:evenVBand="0" w:oddHBand="0" w:evenHBand="0" w:firstRowFirstColumn="0" w:firstRowLastColumn="0" w:lastRowFirstColumn="0" w:lastRowLastColumn="0"/>
            </w:pPr>
            <w:r w:rsidRPr="00CE788C">
              <w:t>Photometric sensors</w:t>
            </w:r>
          </w:p>
        </w:tc>
        <w:tc>
          <w:tcPr>
            <w:tcW w:w="2324" w:type="dxa"/>
          </w:tcPr>
          <w:p w14:paraId="58F8D3DE" w14:textId="64FAF303" w:rsidR="00190C77" w:rsidRPr="00CE788C" w:rsidRDefault="00190C77" w:rsidP="00CE788C">
            <w:pPr>
              <w:spacing w:line="360" w:lineRule="auto"/>
              <w:cnfStyle w:val="000000000000" w:firstRow="0" w:lastRow="0" w:firstColumn="0" w:lastColumn="0" w:oddVBand="0" w:evenVBand="0" w:oddHBand="0" w:evenHBand="0" w:firstRowFirstColumn="0" w:firstRowLastColumn="0" w:lastRowFirstColumn="0" w:lastRowLastColumn="0"/>
            </w:pPr>
            <w:r w:rsidRPr="00CE788C">
              <w:t>Radiometric sensors</w:t>
            </w:r>
          </w:p>
        </w:tc>
      </w:tr>
      <w:tr w:rsidR="008A5AF5" w:rsidRPr="00CE788C" w14:paraId="5906E582" w14:textId="34C00FC1" w:rsidTr="001462C4">
        <w:tc>
          <w:tcPr>
            <w:cnfStyle w:val="001000000000" w:firstRow="0" w:lastRow="0" w:firstColumn="1" w:lastColumn="0" w:oddVBand="0" w:evenVBand="0" w:oddHBand="0" w:evenHBand="0" w:firstRowFirstColumn="0" w:firstRowLastColumn="0" w:lastRowFirstColumn="0" w:lastRowLastColumn="0"/>
            <w:tcW w:w="1857" w:type="dxa"/>
          </w:tcPr>
          <w:p w14:paraId="5119EB54" w14:textId="39EF4A95" w:rsidR="008A5AF5" w:rsidRPr="00CE788C" w:rsidRDefault="008A5AF5" w:rsidP="00CE788C">
            <w:pPr>
              <w:spacing w:line="360" w:lineRule="auto"/>
            </w:pPr>
            <w:r w:rsidRPr="00CE788C">
              <w:t>Conversion</w:t>
            </w:r>
          </w:p>
        </w:tc>
        <w:tc>
          <w:tcPr>
            <w:tcW w:w="3064" w:type="dxa"/>
            <w:gridSpan w:val="2"/>
          </w:tcPr>
          <w:p w14:paraId="612F2C71" w14:textId="50C189F9" w:rsidR="008A5AF5" w:rsidRPr="00CE788C" w:rsidRDefault="008A5AF5" w:rsidP="00CE788C">
            <w:pPr>
              <w:spacing w:line="360" w:lineRule="auto"/>
              <w:cnfStyle w:val="000000000000" w:firstRow="0" w:lastRow="0" w:firstColumn="0" w:lastColumn="0" w:oddVBand="0" w:evenVBand="0" w:oddHBand="0" w:evenHBand="0" w:firstRowFirstColumn="0" w:firstRowLastColumn="0" w:lastRowFirstColumn="0" w:lastRowLastColumn="0"/>
            </w:pPr>
            <w:r w:rsidRPr="00CE788C">
              <w:t>100 µmol/m</w:t>
            </w:r>
            <w:r w:rsidRPr="00CE788C">
              <w:rPr>
                <w:vertAlign w:val="superscript"/>
              </w:rPr>
              <w:t>2</w:t>
            </w:r>
            <w:r w:rsidRPr="00CE788C">
              <w:t>/s with 16 hours photoperiod is 5.76 mol/m</w:t>
            </w:r>
            <w:r w:rsidRPr="00CE788C">
              <w:rPr>
                <w:vertAlign w:val="superscript"/>
              </w:rPr>
              <w:t>2</w:t>
            </w:r>
            <w:r w:rsidRPr="00CE788C">
              <w:t>/day</w:t>
            </w:r>
          </w:p>
        </w:tc>
        <w:tc>
          <w:tcPr>
            <w:tcW w:w="2331" w:type="dxa"/>
          </w:tcPr>
          <w:p w14:paraId="6438F3AE" w14:textId="776A01BF" w:rsidR="008A5AF5" w:rsidRPr="00CE788C" w:rsidRDefault="008A5AF5" w:rsidP="00CE788C">
            <w:pPr>
              <w:spacing w:line="360" w:lineRule="auto"/>
              <w:cnfStyle w:val="000000000000" w:firstRow="0" w:lastRow="0" w:firstColumn="0" w:lastColumn="0" w:oddVBand="0" w:evenVBand="0" w:oddHBand="0" w:evenHBand="0" w:firstRowFirstColumn="0" w:firstRowLastColumn="0" w:lastRowFirstColumn="0" w:lastRowLastColumn="0"/>
            </w:pPr>
            <w:r w:rsidRPr="00CE788C">
              <w:rPr>
                <w:lang w:eastAsia="zh-CN"/>
              </w:rPr>
              <w:t xml:space="preserve">1 FC </w:t>
            </w:r>
            <w:r w:rsidRPr="00CE788C">
              <w:t>≈ 10 Lux ≈ 0.13 to 0.2 µmol/m</w:t>
            </w:r>
            <w:r w:rsidRPr="00CE788C">
              <w:rPr>
                <w:vertAlign w:val="superscript"/>
              </w:rPr>
              <w:t>2</w:t>
            </w:r>
            <w:r w:rsidRPr="00CE788C">
              <w:t>/s depending on light sources</w:t>
            </w:r>
          </w:p>
          <w:p w14:paraId="69C8D140" w14:textId="77E93FF6" w:rsidR="008A5AF5" w:rsidRPr="00CE788C" w:rsidRDefault="008A5AF5" w:rsidP="00CE788C">
            <w:pPr>
              <w:spacing w:line="360" w:lineRule="auto"/>
              <w:cnfStyle w:val="000000000000" w:firstRow="0" w:lastRow="0" w:firstColumn="0" w:lastColumn="0" w:oddVBand="0" w:evenVBand="0" w:oddHBand="0" w:evenHBand="0" w:firstRowFirstColumn="0" w:firstRowLastColumn="0" w:lastRowFirstColumn="0" w:lastRowLastColumn="0"/>
            </w:pPr>
          </w:p>
        </w:tc>
        <w:tc>
          <w:tcPr>
            <w:tcW w:w="2324" w:type="dxa"/>
          </w:tcPr>
          <w:p w14:paraId="76F2EEF4" w14:textId="77777777" w:rsidR="008A5AF5" w:rsidRPr="00CE788C" w:rsidRDefault="008A5AF5" w:rsidP="00CE788C">
            <w:pPr>
              <w:spacing w:line="360" w:lineRule="auto"/>
              <w:cnfStyle w:val="000000000000" w:firstRow="0" w:lastRow="0" w:firstColumn="0" w:lastColumn="0" w:oddVBand="0" w:evenVBand="0" w:oddHBand="0" w:evenHBand="0" w:firstRowFirstColumn="0" w:firstRowLastColumn="0" w:lastRowFirstColumn="0" w:lastRowLastColumn="0"/>
            </w:pPr>
            <w:r w:rsidRPr="00CE788C">
              <w:t>1 W/m</w:t>
            </w:r>
            <w:r w:rsidRPr="00CE788C">
              <w:rPr>
                <w:vertAlign w:val="superscript"/>
              </w:rPr>
              <w:t xml:space="preserve">2 </w:t>
            </w:r>
            <w:r w:rsidRPr="00CE788C">
              <w:t>≈ 1.96 µmol/m</w:t>
            </w:r>
            <w:r w:rsidRPr="00CE788C">
              <w:rPr>
                <w:vertAlign w:val="superscript"/>
              </w:rPr>
              <w:t>2</w:t>
            </w:r>
            <w:r w:rsidRPr="00CE788C">
              <w:t>/s</w:t>
            </w:r>
          </w:p>
          <w:p w14:paraId="0B51B7DA" w14:textId="5F811AED" w:rsidR="008A5AF5" w:rsidRPr="00CE788C" w:rsidRDefault="008A5AF5" w:rsidP="00CE788C">
            <w:pPr>
              <w:spacing w:line="360" w:lineRule="auto"/>
              <w:cnfStyle w:val="000000000000" w:firstRow="0" w:lastRow="0" w:firstColumn="0" w:lastColumn="0" w:oddVBand="0" w:evenVBand="0" w:oddHBand="0" w:evenHBand="0" w:firstRowFirstColumn="0" w:firstRowLastColumn="0" w:lastRowFirstColumn="0" w:lastRowLastColumn="0"/>
            </w:pPr>
            <w:r w:rsidRPr="00CE788C">
              <w:br/>
              <w:t>51 Joules/cm</w:t>
            </w:r>
            <w:r w:rsidRPr="00CE788C">
              <w:rPr>
                <w:vertAlign w:val="superscript"/>
              </w:rPr>
              <w:t>2</w:t>
            </w:r>
            <w:r w:rsidRPr="00CE788C">
              <w:t>/day ≈ 1 mol/m</w:t>
            </w:r>
            <w:r w:rsidRPr="00CE788C">
              <w:rPr>
                <w:vertAlign w:val="superscript"/>
              </w:rPr>
              <w:t>2</w:t>
            </w:r>
            <w:r w:rsidRPr="00CE788C">
              <w:t>/day</w:t>
            </w:r>
          </w:p>
        </w:tc>
      </w:tr>
    </w:tbl>
    <w:p w14:paraId="50E41275" w14:textId="6276E185" w:rsidR="00F75736" w:rsidRDefault="00F75736" w:rsidP="00CE788C">
      <w:pPr>
        <w:spacing w:line="360" w:lineRule="auto"/>
      </w:pPr>
      <w:r w:rsidRPr="00CE788C">
        <w:rPr>
          <w:vertAlign w:val="superscript"/>
        </w:rPr>
        <w:t>1</w:t>
      </w:r>
      <w:r w:rsidR="00CE0F0B" w:rsidRPr="00CE788C">
        <w:t>PAR</w:t>
      </w:r>
      <w:r w:rsidR="001462C4" w:rsidRPr="00CE788C">
        <w:t xml:space="preserve"> –</w:t>
      </w:r>
      <w:r w:rsidR="00CE0F0B" w:rsidRPr="00CE788C">
        <w:t xml:space="preserve"> Photosynthetically Active Radiation refers to the portion of the light spectrum between 400 and 700/750 nm that plants can use for photosynthesis</w:t>
      </w:r>
      <w:r w:rsidR="00264805" w:rsidRPr="00CE788C">
        <w:t>.</w:t>
      </w:r>
      <w:r w:rsidRPr="00CE788C">
        <w:rPr>
          <w:vertAlign w:val="superscript"/>
        </w:rPr>
        <w:t xml:space="preserve"> </w:t>
      </w:r>
      <w:r w:rsidRPr="00CE788C">
        <w:t xml:space="preserve">PPFD – </w:t>
      </w:r>
      <w:r w:rsidR="001462C4" w:rsidRPr="00CE788C">
        <w:t>Photosynthetic Photon Flux Density quantifies the instantaneous intensity of PAR reaching a surface</w:t>
      </w:r>
      <w:r w:rsidR="00264805" w:rsidRPr="00CE788C">
        <w:t xml:space="preserve">. </w:t>
      </w:r>
      <w:r w:rsidR="001462C4" w:rsidRPr="00CE788C">
        <w:t xml:space="preserve">DLI – </w:t>
      </w:r>
      <w:r w:rsidR="00264805" w:rsidRPr="00CE788C">
        <w:t>Daily Light Integral represents the total amount of PAR received over a 24-hour period.</w:t>
      </w:r>
      <w:r w:rsidR="001462C4" w:rsidRPr="00CE788C">
        <w:t xml:space="preserve"> </w:t>
      </w:r>
    </w:p>
    <w:p w14:paraId="6D79EC07" w14:textId="5569E438" w:rsidR="00287C1C" w:rsidRPr="00287C1C" w:rsidRDefault="00287C1C" w:rsidP="00CE788C">
      <w:pPr>
        <w:spacing w:line="360" w:lineRule="auto"/>
        <w:rPr>
          <w:u w:val="single"/>
          <w:vertAlign w:val="superscript"/>
        </w:rPr>
      </w:pPr>
      <w:r w:rsidRPr="00287C1C">
        <w:rPr>
          <w:u w:val="single"/>
        </w:rPr>
        <w:t xml:space="preserve">Light monitoring sensor </w:t>
      </w:r>
    </w:p>
    <w:p w14:paraId="71633FA0" w14:textId="38AD4974" w:rsidR="003C7C81" w:rsidRDefault="00CF0114" w:rsidP="00CE788C">
      <w:pPr>
        <w:spacing w:line="360" w:lineRule="auto"/>
      </w:pPr>
      <w:r w:rsidRPr="00CE788C">
        <w:lastRenderedPageBreak/>
        <w:t xml:space="preserve">A DLI meter (such as </w:t>
      </w:r>
      <w:hyperlink r:id="rId9" w:history="1">
        <w:r w:rsidRPr="00264823">
          <w:rPr>
            <w:rStyle w:val="Hyperlink"/>
          </w:rPr>
          <w:t>Apogee DLI</w:t>
        </w:r>
        <w:r w:rsidR="00653451" w:rsidRPr="00264823">
          <w:rPr>
            <w:rStyle w:val="Hyperlink"/>
          </w:rPr>
          <w:t>-400 PAR, DLI</w:t>
        </w:r>
        <w:r w:rsidR="00264823" w:rsidRPr="00264823">
          <w:rPr>
            <w:rStyle w:val="Hyperlink"/>
          </w:rPr>
          <w:t>, and photoperiod meter</w:t>
        </w:r>
      </w:hyperlink>
      <w:r w:rsidRPr="00CE788C">
        <w:t xml:space="preserve">) can be used by County Agents </w:t>
      </w:r>
      <w:r w:rsidR="00743421">
        <w:t xml:space="preserve">and growers </w:t>
      </w:r>
      <w:r w:rsidRPr="00CE788C">
        <w:t>to get an instant snapshot of light intensity, as well as to track daily light availability.</w:t>
      </w:r>
    </w:p>
    <w:p w14:paraId="6A608587" w14:textId="0D9F7131" w:rsidR="00E50C8D" w:rsidRDefault="00E50C8D" w:rsidP="00CE788C">
      <w:pPr>
        <w:spacing w:line="360" w:lineRule="auto"/>
      </w:pPr>
      <w:r>
        <w:rPr>
          <w:noProof/>
        </w:rPr>
      </w:r>
      <w:r w:rsidR="00E50C8D">
        <w:rPr>
          <w:noProof/>
        </w:rPr>
        <w:pict w14:anchorId="415141B0">
          <v:shape id="_x0000_s1029" type="#_x0000_t75" alt="DLI-400: PAR, Daily Light Integral, and Photoperiod Meter (Sunlight Only, 400-700 nm)" style="position:absolute;margin-left:0;margin-top:1.5pt;width:302.25pt;height:164.1pt;z-index:251661312;mso-wrap-edited:f;mso-width-percent:0;mso-height-percent:0;mso-position-horizontal-relative:text;mso-position-vertical-relative:text;mso-width-percent:0;mso-height-percent:0">
            <v:imagedata r:id="rId10" r:href="rId11"/>
            <w10:wrap type="square"/>
          </v:shape>
        </w:pict>
      </w:r>
    </w:p>
    <w:p w14:paraId="63BC9B1A" w14:textId="017803B8" w:rsidR="005D049E" w:rsidRPr="00264823" w:rsidRDefault="00E50C8D" w:rsidP="00CE788C">
      <w:pPr>
        <w:spacing w:line="360" w:lineRule="auto"/>
      </w:pPr>
      <w:r>
        <w:t xml:space="preserve">Figure 3. An example light meter for light monitoring </w:t>
      </w:r>
    </w:p>
    <w:p w14:paraId="02A215AA" w14:textId="77777777" w:rsidR="00E50C8D" w:rsidRDefault="00E50C8D" w:rsidP="00287C1C">
      <w:pPr>
        <w:spacing w:line="360" w:lineRule="auto"/>
        <w:rPr>
          <w:u w:val="single"/>
        </w:rPr>
      </w:pPr>
    </w:p>
    <w:p w14:paraId="08688558" w14:textId="77777777" w:rsidR="00E50C8D" w:rsidRDefault="00E50C8D" w:rsidP="00287C1C">
      <w:pPr>
        <w:spacing w:line="360" w:lineRule="auto"/>
        <w:rPr>
          <w:u w:val="single"/>
        </w:rPr>
      </w:pPr>
    </w:p>
    <w:p w14:paraId="1C8263B6" w14:textId="77777777" w:rsidR="00E50C8D" w:rsidRDefault="00E50C8D" w:rsidP="00287C1C">
      <w:pPr>
        <w:spacing w:line="360" w:lineRule="auto"/>
        <w:rPr>
          <w:u w:val="single"/>
        </w:rPr>
      </w:pPr>
    </w:p>
    <w:p w14:paraId="14566284" w14:textId="77777777" w:rsidR="00E50C8D" w:rsidRDefault="00E50C8D" w:rsidP="00287C1C">
      <w:pPr>
        <w:spacing w:line="360" w:lineRule="auto"/>
        <w:rPr>
          <w:u w:val="single"/>
        </w:rPr>
      </w:pPr>
    </w:p>
    <w:p w14:paraId="053F77DC" w14:textId="484EDBE3" w:rsidR="00287C1C" w:rsidRDefault="00287C1C" w:rsidP="00287C1C">
      <w:pPr>
        <w:spacing w:line="360" w:lineRule="auto"/>
      </w:pPr>
      <w:r w:rsidRPr="00CE788C">
        <w:rPr>
          <w:u w:val="single"/>
        </w:rPr>
        <w:t>General Use</w:t>
      </w:r>
      <w:r w:rsidRPr="00CF0114">
        <w:t xml:space="preserve"> </w:t>
      </w:r>
    </w:p>
    <w:p w14:paraId="3D6A4292" w14:textId="483EF2BF" w:rsidR="003C7C81" w:rsidRPr="00CE788C" w:rsidRDefault="003C7C81" w:rsidP="00CE788C">
      <w:pPr>
        <w:spacing w:line="360" w:lineRule="auto"/>
      </w:pPr>
      <w:r w:rsidRPr="00CE788C">
        <w:t xml:space="preserve">For aggregated DLI measurements, install the batteries and </w:t>
      </w:r>
      <w:r w:rsidR="00677EA8" w:rsidRPr="00CE788C">
        <w:t>affix</w:t>
      </w:r>
      <w:r w:rsidRPr="00CE788C">
        <w:t xml:space="preserve"> the meter in a location that is at roughly crop-canopy height</w:t>
      </w:r>
      <w:r w:rsidR="00677EA8" w:rsidRPr="00CE788C">
        <w:t xml:space="preserve">. </w:t>
      </w:r>
      <w:r w:rsidR="00CF266E" w:rsidRPr="00CE788C">
        <w:t>This Apogee</w:t>
      </w:r>
      <w:r w:rsidR="00677EA8" w:rsidRPr="00CE788C">
        <w:t xml:space="preserve"> meter can </w:t>
      </w:r>
      <w:r w:rsidR="00CF266E" w:rsidRPr="00CE788C">
        <w:t xml:space="preserve">log </w:t>
      </w:r>
      <w:r w:rsidR="00677EA8" w:rsidRPr="00CE788C">
        <w:t xml:space="preserve">for </w:t>
      </w:r>
      <w:r w:rsidR="00335FCC" w:rsidRPr="00CE788C">
        <w:t>up to 100</w:t>
      </w:r>
      <w:r w:rsidR="006E68DE" w:rsidRPr="00CE788C">
        <w:t xml:space="preserve"> days, </w:t>
      </w:r>
      <w:r w:rsidR="00335FCC" w:rsidRPr="00CE788C">
        <w:t xml:space="preserve">but we recommend </w:t>
      </w:r>
      <w:r w:rsidR="008258E1" w:rsidRPr="00CE788C">
        <w:t>using it only for up to a few days, to get a sense of daily light availability during th</w:t>
      </w:r>
      <w:r w:rsidR="00642B10" w:rsidRPr="00CE788C">
        <w:t>at season when the measurement takes place.</w:t>
      </w:r>
      <w:r w:rsidR="00CF266E" w:rsidRPr="00CE788C">
        <w:t xml:space="preserve"> </w:t>
      </w:r>
      <w:r w:rsidR="00CD685A" w:rsidRPr="00CE788C">
        <w:t xml:space="preserve">Data can be accessed through a USB port on the </w:t>
      </w:r>
      <w:proofErr w:type="gramStart"/>
      <w:r w:rsidR="00CD685A" w:rsidRPr="00CE788C">
        <w:t>meter, and</w:t>
      </w:r>
      <w:proofErr w:type="gramEnd"/>
      <w:r w:rsidR="00CD685A" w:rsidRPr="00CE788C">
        <w:t xml:space="preserve"> should be cleared</w:t>
      </w:r>
      <w:r w:rsidR="00AC4283" w:rsidRPr="00CE788C">
        <w:t xml:space="preserve"> periodically.</w:t>
      </w:r>
    </w:p>
    <w:p w14:paraId="05B2E944" w14:textId="0C3716A3" w:rsidR="00CF266E" w:rsidRPr="00CE788C" w:rsidRDefault="00CF266E" w:rsidP="00CE788C">
      <w:pPr>
        <w:spacing w:line="360" w:lineRule="auto"/>
      </w:pPr>
      <w:r w:rsidRPr="00CE788C">
        <w:t xml:space="preserve">For snapshot measurements, the meter also enables a live sensor readout that displays the average light intensity from the </w:t>
      </w:r>
      <w:r w:rsidR="004908AA" w:rsidRPr="00CE788C">
        <w:t>last 2.5 seconds. This is helpful for assessing light loss through greenhouse plastic</w:t>
      </w:r>
      <w:r w:rsidR="00CE1CCA" w:rsidRPr="00CE788C">
        <w:t xml:space="preserve">, </w:t>
      </w:r>
      <w:r w:rsidR="00AC4283" w:rsidRPr="00CE788C">
        <w:t xml:space="preserve">light availability </w:t>
      </w:r>
      <w:r w:rsidR="004908AA" w:rsidRPr="00CE788C">
        <w:t>at different heights in the crop canopy</w:t>
      </w:r>
      <w:r w:rsidR="00067BD9" w:rsidRPr="00CE788C">
        <w:t>, as well as across various locations throughout the greenhouse</w:t>
      </w:r>
      <w:r w:rsidR="004908AA" w:rsidRPr="00CE788C">
        <w:t>.</w:t>
      </w:r>
      <w:r w:rsidR="00501423" w:rsidRPr="00CE788C">
        <w:t xml:space="preserve"> </w:t>
      </w:r>
    </w:p>
    <w:p w14:paraId="1B63B6BC" w14:textId="20CE70A4" w:rsidR="00501423" w:rsidRDefault="00501423" w:rsidP="00CE788C">
      <w:pPr>
        <w:spacing w:line="360" w:lineRule="auto"/>
      </w:pPr>
      <w:r w:rsidRPr="00CE788C">
        <w:t xml:space="preserve">Note: Look at the response curve for the sensor. The </w:t>
      </w:r>
      <w:r w:rsidR="007F0CCE" w:rsidRPr="00CE788C">
        <w:t>DLI-400 meter from Apogee is only accurate under sunlight and broad-spectrum</w:t>
      </w:r>
      <w:r w:rsidR="00AC4283" w:rsidRPr="00CE788C">
        <w:t xml:space="preserve"> supplemental</w:t>
      </w:r>
      <w:r w:rsidR="007F0CCE" w:rsidRPr="00CE788C">
        <w:t xml:space="preserve"> light sources (e.g., sodium lamps). </w:t>
      </w:r>
      <w:r w:rsidR="005A222B" w:rsidRPr="00CE788C">
        <w:t>Agents working with growers who use LED light sources should select an upgraded meter, such as DLI-</w:t>
      </w:r>
      <w:r w:rsidR="009B1655" w:rsidRPr="00CE788C">
        <w:t xml:space="preserve">500, </w:t>
      </w:r>
      <w:r w:rsidR="00B90ED1">
        <w:t xml:space="preserve">DLI-600, </w:t>
      </w:r>
      <w:r w:rsidR="009B1655" w:rsidRPr="00CE788C">
        <w:t>or contact the Extension Greenhouse Specialist</w:t>
      </w:r>
      <w:r w:rsidR="006F57E2" w:rsidRPr="00CE788C">
        <w:t>.</w:t>
      </w:r>
    </w:p>
    <w:p w14:paraId="27F964DD" w14:textId="77777777" w:rsidR="00E50C8D" w:rsidRPr="00CE788C" w:rsidRDefault="00E50C8D" w:rsidP="00CE788C">
      <w:pPr>
        <w:spacing w:line="360" w:lineRule="auto"/>
      </w:pPr>
    </w:p>
    <w:p w14:paraId="0609DE91" w14:textId="608443BC" w:rsidR="00DA476B" w:rsidRPr="00CE788C" w:rsidRDefault="00CA1CD6" w:rsidP="00CE788C">
      <w:pPr>
        <w:spacing w:line="360" w:lineRule="auto"/>
      </w:pPr>
      <w:r w:rsidRPr="00CE788C">
        <w:rPr>
          <w:u w:val="single"/>
        </w:rPr>
        <w:lastRenderedPageBreak/>
        <w:t>Maintenance and Calibration</w:t>
      </w:r>
    </w:p>
    <w:p w14:paraId="0318135C" w14:textId="5365B64D" w:rsidR="00C56137" w:rsidRPr="00CE788C" w:rsidRDefault="00CA1CD6" w:rsidP="00CE788C">
      <w:pPr>
        <w:spacing w:line="360" w:lineRule="auto"/>
      </w:pPr>
      <w:r w:rsidRPr="00CE788C">
        <w:t xml:space="preserve">The meter </w:t>
      </w:r>
      <w:r w:rsidR="00EF30D2" w:rsidRPr="00CE788C">
        <w:t>receives light in a domed area at the top</w:t>
      </w:r>
      <w:r w:rsidR="00C1137D" w:rsidRPr="00CE788C">
        <w:t>; if this area is obstructed (e.g., by physi</w:t>
      </w:r>
      <w:r w:rsidR="00E47812" w:rsidRPr="00CE788C">
        <w:t>cal objects</w:t>
      </w:r>
      <w:r w:rsidR="005E3892" w:rsidRPr="00CE788C">
        <w:t xml:space="preserve">, dust, </w:t>
      </w:r>
      <w:r w:rsidR="00C56137" w:rsidRPr="00CE788C">
        <w:t xml:space="preserve">splashed liquids, </w:t>
      </w:r>
      <w:r w:rsidR="005E3892" w:rsidRPr="00CE788C">
        <w:t xml:space="preserve">or </w:t>
      </w:r>
      <w:r w:rsidR="009B28B4" w:rsidRPr="00CE788C">
        <w:t>other deposits</w:t>
      </w:r>
      <w:r w:rsidR="00151456" w:rsidRPr="00CE788C">
        <w:t>), measurements will be inaccurate</w:t>
      </w:r>
      <w:r w:rsidR="00EF30D2" w:rsidRPr="00CE788C">
        <w:t xml:space="preserve">. The product manual provides clear and detailed instructions about how to clean this receiver, and it is important to follow these directions to ensure a long life for the </w:t>
      </w:r>
      <w:r w:rsidR="00C1137D" w:rsidRPr="00CE788C">
        <w:t>meter.</w:t>
      </w:r>
      <w:r w:rsidR="00224293" w:rsidRPr="00CE788C">
        <w:t xml:space="preserve"> </w:t>
      </w:r>
      <w:r w:rsidR="00C56137" w:rsidRPr="00CE788C">
        <w:t xml:space="preserve">The meter has been professionally calibrated in the </w:t>
      </w:r>
      <w:proofErr w:type="gramStart"/>
      <w:r w:rsidR="00C56137" w:rsidRPr="00CE788C">
        <w:t>factory, and</w:t>
      </w:r>
      <w:proofErr w:type="gramEnd"/>
      <w:r w:rsidR="00C56137" w:rsidRPr="00CE788C">
        <w:t xml:space="preserve"> can be returned to the manufacturer for recalibration as and when necessary (approximately every two years).</w:t>
      </w:r>
      <w:r w:rsidR="0028724D" w:rsidRPr="00CE788C">
        <w:t xml:space="preserve"> This will generally be the case for PAR meters</w:t>
      </w:r>
      <w:r w:rsidR="00EC1F34" w:rsidRPr="00CE788C">
        <w:t>, but</w:t>
      </w:r>
      <w:r w:rsidR="001A5330" w:rsidRPr="00CE788C">
        <w:t xml:space="preserve"> make sure to</w:t>
      </w:r>
      <w:r w:rsidR="00EC1F34" w:rsidRPr="00CE788C">
        <w:t xml:space="preserve"> check the manufacturer’s instructions and guarantee of sensor calibration</w:t>
      </w:r>
      <w:r w:rsidR="00186C20" w:rsidRPr="00CE788C">
        <w:t>.</w:t>
      </w:r>
    </w:p>
    <w:p w14:paraId="60E3ADFA" w14:textId="6C1CC6D5" w:rsidR="00F460DE" w:rsidRPr="00CE788C" w:rsidRDefault="00DE66A7" w:rsidP="00CE788C">
      <w:pPr>
        <w:spacing w:line="360" w:lineRule="auto"/>
        <w:rPr>
          <w:u w:val="single"/>
        </w:rPr>
      </w:pPr>
      <w:r w:rsidRPr="00CE788C">
        <w:rPr>
          <w:u w:val="single"/>
        </w:rPr>
        <w:t>Cost and alternatives</w:t>
      </w:r>
    </w:p>
    <w:p w14:paraId="1A20B53F" w14:textId="5128E525" w:rsidR="00CE788C" w:rsidRDefault="00DD7A72" w:rsidP="00CE788C">
      <w:pPr>
        <w:spacing w:line="360" w:lineRule="auto"/>
      </w:pPr>
      <w:r w:rsidRPr="00CE788C">
        <w:t xml:space="preserve">DLI meters </w:t>
      </w:r>
      <w:r w:rsidR="00445852" w:rsidRPr="00CE788C">
        <w:t xml:space="preserve">that provide appropriate units can cost upwards of $300. </w:t>
      </w:r>
      <w:r w:rsidR="00186EF6" w:rsidRPr="00CE788C">
        <w:t>However, small-scale growers may be able to make do with lower-cost sensors that measure</w:t>
      </w:r>
      <w:r w:rsidR="00F62B99" w:rsidRPr="00CE788C">
        <w:t xml:space="preserve"> </w:t>
      </w:r>
      <w:r w:rsidR="00186EF6" w:rsidRPr="00CE788C">
        <w:t>lux</w:t>
      </w:r>
      <w:r w:rsidR="00F62B99" w:rsidRPr="00CE788C">
        <w:t xml:space="preserve"> (&lt;$100)</w:t>
      </w:r>
      <w:r w:rsidR="00186EF6" w:rsidRPr="00CE788C">
        <w:t xml:space="preserve"> – however, </w:t>
      </w:r>
      <w:r w:rsidR="00B223E5" w:rsidRPr="00CE788C">
        <w:t>the measurements</w:t>
      </w:r>
      <w:r w:rsidR="00186EF6" w:rsidRPr="00CE788C">
        <w:t xml:space="preserve"> will need to be</w:t>
      </w:r>
      <w:r w:rsidR="00C617BD" w:rsidRPr="00CE788C">
        <w:t xml:space="preserve"> converted </w:t>
      </w:r>
      <w:r w:rsidR="00380EEA" w:rsidRPr="00CE788C">
        <w:t>and calculated to</w:t>
      </w:r>
      <w:r w:rsidR="00C617BD" w:rsidRPr="00CE788C">
        <w:t xml:space="preserve"> </w:t>
      </w:r>
      <w:r w:rsidR="00380EEA" w:rsidRPr="00CE788C">
        <w:t xml:space="preserve">get an </w:t>
      </w:r>
      <w:r w:rsidR="00C617BD" w:rsidRPr="00CE788C">
        <w:t xml:space="preserve">estimated DLI by 1) converting </w:t>
      </w:r>
      <w:r w:rsidR="000F1E2E" w:rsidRPr="00CE788C">
        <w:t xml:space="preserve">instantaneous </w:t>
      </w:r>
      <w:r w:rsidR="00C617BD" w:rsidRPr="00CE788C">
        <w:t xml:space="preserve">light intensity to </w:t>
      </w:r>
      <w:r w:rsidR="00886888" w:rsidRPr="00CE788C">
        <w:t>appropriate units (PPFD)</w:t>
      </w:r>
      <w:r w:rsidR="00186EF6" w:rsidRPr="00CE788C">
        <w:t xml:space="preserve"> </w:t>
      </w:r>
      <w:r w:rsidR="00C617BD" w:rsidRPr="00CE788C">
        <w:t>using a spectral conversion factor</w:t>
      </w:r>
      <w:r w:rsidR="000F1E2E" w:rsidRPr="00CE788C">
        <w:t xml:space="preserve">, then 2) multiplying by photoperiod to estimate light availability for the whole day. </w:t>
      </w:r>
      <w:r w:rsidR="00FF5816" w:rsidRPr="00CE788C">
        <w:t xml:space="preserve">This website provides </w:t>
      </w:r>
      <w:r w:rsidR="00886888" w:rsidRPr="00CE788C">
        <w:t>estimated conversions</w:t>
      </w:r>
      <w:r w:rsidR="000057D9" w:rsidRPr="00CE788C">
        <w:t xml:space="preserve">: </w:t>
      </w:r>
      <w:hyperlink r:id="rId12" w:history="1">
        <w:r w:rsidR="000057D9" w:rsidRPr="00CE788C">
          <w:rPr>
            <w:rStyle w:val="Hyperlink"/>
          </w:rPr>
          <w:t>https://www.egc.com/lighting-conversion/</w:t>
        </w:r>
      </w:hyperlink>
      <w:r w:rsidR="000057D9" w:rsidRPr="00CE788C">
        <w:t>. N</w:t>
      </w:r>
      <w:r w:rsidR="00886888" w:rsidRPr="00CE788C">
        <w:t xml:space="preserve">ote that </w:t>
      </w:r>
      <w:r w:rsidR="000057D9" w:rsidRPr="00CE788C">
        <w:t xml:space="preserve">these are estimates, and </w:t>
      </w:r>
      <w:r w:rsidR="00886888" w:rsidRPr="00CE788C">
        <w:t xml:space="preserve">only a DLI meter can give </w:t>
      </w:r>
      <w:r w:rsidR="00D5703E" w:rsidRPr="00CE788C">
        <w:t xml:space="preserve">growers </w:t>
      </w:r>
      <w:r w:rsidR="00886888" w:rsidRPr="00CE788C">
        <w:t xml:space="preserve">the most accurate </w:t>
      </w:r>
      <w:r w:rsidR="000057D9" w:rsidRPr="00CE788C">
        <w:t xml:space="preserve">data. </w:t>
      </w:r>
    </w:p>
    <w:p w14:paraId="0709D416" w14:textId="5EEBE0EC" w:rsidR="1DC121EB" w:rsidRPr="00CE788C" w:rsidRDefault="00E23427" w:rsidP="00CE788C">
      <w:pPr>
        <w:spacing w:line="360" w:lineRule="auto"/>
        <w:rPr>
          <w:b/>
          <w:bCs/>
        </w:rPr>
      </w:pPr>
      <w:r w:rsidRPr="00CE788C">
        <w:rPr>
          <w:b/>
          <w:bCs/>
        </w:rPr>
        <w:t>Climate Monitoring (temperature, humidity, and light)</w:t>
      </w:r>
    </w:p>
    <w:p w14:paraId="2768FD2A" w14:textId="4375938F" w:rsidR="00761247" w:rsidRPr="00CE788C" w:rsidRDefault="5474F7B3" w:rsidP="00CE788C">
      <w:pPr>
        <w:spacing w:line="360" w:lineRule="auto"/>
        <w:rPr>
          <w:rFonts w:eastAsia="Aptos" w:cs="Aptos"/>
        </w:rPr>
      </w:pPr>
      <w:r w:rsidRPr="00CE788C">
        <w:rPr>
          <w:rFonts w:eastAsia="Aptos" w:cs="Aptos"/>
        </w:rPr>
        <w:t xml:space="preserve">Climate monitoring within a controlled environment is essential for maintaining plant growth and resource efficiency. Plants respond directly to environmental conditions. </w:t>
      </w:r>
      <w:r w:rsidR="121CA927" w:rsidRPr="00CE788C">
        <w:rPr>
          <w:rFonts w:eastAsia="Aptos" w:cs="Aptos"/>
        </w:rPr>
        <w:t>Small</w:t>
      </w:r>
      <w:r w:rsidRPr="00CE788C">
        <w:rPr>
          <w:rFonts w:eastAsia="Aptos" w:cs="Aptos"/>
        </w:rPr>
        <w:t xml:space="preserve"> changes in the climate can significantly impact plant health and yield. </w:t>
      </w:r>
      <w:r w:rsidR="0052773F" w:rsidRPr="00CE788C">
        <w:rPr>
          <w:rFonts w:eastAsia="Aptos" w:cs="Aptos"/>
        </w:rPr>
        <w:t>Greenhouse c</w:t>
      </w:r>
      <w:r w:rsidRPr="00CE788C">
        <w:rPr>
          <w:rFonts w:eastAsia="Aptos" w:cs="Aptos"/>
        </w:rPr>
        <w:t xml:space="preserve">limate monitoring includes temperature, </w:t>
      </w:r>
      <w:r w:rsidR="0052773F" w:rsidRPr="00CE788C">
        <w:rPr>
          <w:rFonts w:eastAsia="Aptos" w:cs="Aptos"/>
        </w:rPr>
        <w:t xml:space="preserve">relative </w:t>
      </w:r>
      <w:r w:rsidRPr="00CE788C">
        <w:rPr>
          <w:rFonts w:eastAsia="Aptos" w:cs="Aptos"/>
        </w:rPr>
        <w:t xml:space="preserve">humidity, </w:t>
      </w:r>
      <w:r w:rsidR="00723A37" w:rsidRPr="00CE788C">
        <w:rPr>
          <w:rFonts w:eastAsia="Aptos" w:cs="Aptos"/>
        </w:rPr>
        <w:t>CO</w:t>
      </w:r>
      <w:r w:rsidR="00723A37" w:rsidRPr="00CE788C">
        <w:rPr>
          <w:rFonts w:eastAsia="Aptos" w:cs="Aptos"/>
          <w:vertAlign w:val="subscript"/>
        </w:rPr>
        <w:t xml:space="preserve">2 </w:t>
      </w:r>
      <w:r w:rsidRPr="00CE788C">
        <w:rPr>
          <w:rFonts w:eastAsia="Aptos" w:cs="Aptos"/>
        </w:rPr>
        <w:t xml:space="preserve">and light. These </w:t>
      </w:r>
      <w:r w:rsidR="00E47BBA" w:rsidRPr="00CE788C">
        <w:rPr>
          <w:rFonts w:eastAsia="Aptos" w:cs="Aptos"/>
        </w:rPr>
        <w:t xml:space="preserve">factors </w:t>
      </w:r>
      <w:r w:rsidRPr="00CE788C">
        <w:rPr>
          <w:rFonts w:eastAsia="Aptos" w:cs="Aptos"/>
        </w:rPr>
        <w:t xml:space="preserve">are the primary drivers of plant photosynthesis, transpiration, and respiration. Temperature in a controlled environment affects the plant’s enzyme activity, growth </w:t>
      </w:r>
      <w:r w:rsidR="59038D17" w:rsidRPr="00CE788C">
        <w:rPr>
          <w:rFonts w:eastAsia="Aptos" w:cs="Aptos"/>
        </w:rPr>
        <w:t>rate,</w:t>
      </w:r>
      <w:r w:rsidRPr="00CE788C">
        <w:rPr>
          <w:rFonts w:eastAsia="Aptos" w:cs="Aptos"/>
        </w:rPr>
        <w:t xml:space="preserve"> and </w:t>
      </w:r>
      <w:r w:rsidR="00064540" w:rsidRPr="00CE788C">
        <w:rPr>
          <w:rFonts w:eastAsia="Aptos" w:cs="Aptos"/>
        </w:rPr>
        <w:t xml:space="preserve">the timing of developmental </w:t>
      </w:r>
      <w:r w:rsidR="00B87D8E" w:rsidRPr="00CE788C">
        <w:rPr>
          <w:rFonts w:eastAsia="Aptos" w:cs="Aptos"/>
        </w:rPr>
        <w:t xml:space="preserve">processes such as </w:t>
      </w:r>
      <w:r w:rsidRPr="00CE788C">
        <w:rPr>
          <w:rFonts w:eastAsia="Aptos" w:cs="Aptos"/>
        </w:rPr>
        <w:t>flowerin</w:t>
      </w:r>
      <w:r w:rsidR="00596D19" w:rsidRPr="00CE788C">
        <w:rPr>
          <w:rFonts w:eastAsia="Aptos" w:cs="Aptos"/>
        </w:rPr>
        <w:t>g</w:t>
      </w:r>
      <w:r w:rsidRPr="00CE788C">
        <w:rPr>
          <w:rFonts w:eastAsia="Aptos" w:cs="Aptos"/>
        </w:rPr>
        <w:t>.</w:t>
      </w:r>
      <w:r w:rsidR="00B87D8E" w:rsidRPr="00CE788C">
        <w:t xml:space="preserve"> </w:t>
      </w:r>
      <w:r w:rsidR="00B87D8E" w:rsidRPr="00CE788C">
        <w:rPr>
          <w:rFonts w:eastAsia="Aptos" w:cs="Aptos"/>
        </w:rPr>
        <w:t xml:space="preserve">When temperatures are within the crop’s optimal range, metabolic reactions proceed efficiently, supporting steady biomass accumulation; when temperatures fall below or exceed this range, growth slows and </w:t>
      </w:r>
      <w:r w:rsidR="00B87D8E" w:rsidRPr="00CE788C">
        <w:rPr>
          <w:rFonts w:eastAsia="Aptos" w:cs="Aptos"/>
        </w:rPr>
        <w:lastRenderedPageBreak/>
        <w:t>physiological stress increases.</w:t>
      </w:r>
      <w:r w:rsidRPr="00CE788C">
        <w:rPr>
          <w:rFonts w:eastAsia="Aptos" w:cs="Aptos"/>
        </w:rPr>
        <w:t xml:space="preserve"> Relative humidity (RH) influences the plants’ transpiration</w:t>
      </w:r>
      <w:r w:rsidR="00B87D8E" w:rsidRPr="00CE788C">
        <w:rPr>
          <w:rFonts w:eastAsia="Aptos" w:cs="Aptos"/>
        </w:rPr>
        <w:t>, which</w:t>
      </w:r>
      <w:r w:rsidR="00A83799" w:rsidRPr="00CE788C">
        <w:rPr>
          <w:rFonts w:eastAsia="Aptos" w:cs="Aptos"/>
        </w:rPr>
        <w:t xml:space="preserve"> is</w:t>
      </w:r>
      <w:r w:rsidR="00B87D8E" w:rsidRPr="00CE788C">
        <w:rPr>
          <w:rFonts w:eastAsia="Aptos" w:cs="Aptos"/>
        </w:rPr>
        <w:t xml:space="preserve"> the plant’s primary mechanism for water movement and evaporative cooling, and in turn, nutrient uptake through mass flow</w:t>
      </w:r>
      <w:r w:rsidRPr="00CE788C">
        <w:rPr>
          <w:rFonts w:eastAsia="Aptos" w:cs="Aptos"/>
        </w:rPr>
        <w:t>.</w:t>
      </w:r>
      <w:r w:rsidR="00923EC0" w:rsidRPr="00CE788C">
        <w:t xml:space="preserve"> </w:t>
      </w:r>
      <w:r w:rsidR="00923EC0" w:rsidRPr="00CE788C">
        <w:rPr>
          <w:rFonts w:eastAsia="Aptos" w:cs="Aptos"/>
        </w:rPr>
        <w:t>High RH can suppress transpiration and limit calcium and micronutrient transport, whereas low RH increases transpiration demand and may predispose plants to water stress.</w:t>
      </w:r>
      <w:r w:rsidRPr="00CE788C">
        <w:rPr>
          <w:rFonts w:eastAsia="Aptos" w:cs="Aptos"/>
        </w:rPr>
        <w:t xml:space="preserve"> </w:t>
      </w:r>
    </w:p>
    <w:p w14:paraId="0005C687" w14:textId="1CE33019" w:rsidR="00761247" w:rsidRPr="00CE788C" w:rsidRDefault="5474F7B3" w:rsidP="00CE788C">
      <w:pPr>
        <w:spacing w:line="360" w:lineRule="auto"/>
        <w:rPr>
          <w:rFonts w:eastAsia="Aptos" w:cs="Aptos"/>
          <w:u w:val="single"/>
        </w:rPr>
      </w:pPr>
      <w:r w:rsidRPr="00CE788C">
        <w:rPr>
          <w:rFonts w:eastAsia="Aptos" w:cs="Aptos"/>
          <w:u w:val="single"/>
        </w:rPr>
        <w:t>Climate Monitoring Sensor</w:t>
      </w:r>
    </w:p>
    <w:p w14:paraId="50FFE15B" w14:textId="48F0630A" w:rsidR="00EB3480" w:rsidRDefault="00B006CD" w:rsidP="00CE788C">
      <w:pPr>
        <w:spacing w:line="360" w:lineRule="auto"/>
      </w:pPr>
      <w:r>
        <w:rPr>
          <w:noProof/>
        </w:rPr>
      </w:r>
      <w:r w:rsidR="00B006CD">
        <w:rPr>
          <w:noProof/>
        </w:rPr>
        <w:pict w14:anchorId="269033D1">
          <v:shape id="_x0000_s1026" type="#_x0000_t75" alt="Onset HOBO MX1104 Temp Light RH" style="position:absolute;margin-left:0;margin-top:118.85pt;width:239.45pt;height:144.85pt;z-index:251659264;mso-wrap-edited:f;mso-width-percent:0;mso-height-percent:0;mso-position-horizontal-relative:text;mso-position-vertical-relative:text;mso-width-percent:0;mso-height-percent:0">
            <v:imagedata r:id="rId13" r:href="rId14"/>
            <w10:wrap type="square"/>
          </v:shape>
        </w:pict>
      </w:r>
      <w:r w:rsidR="00743421">
        <w:rPr>
          <w:rFonts w:eastAsia="Aptos" w:cs="Aptos"/>
        </w:rPr>
        <w:t>A</w:t>
      </w:r>
      <w:r w:rsidR="00854B24">
        <w:rPr>
          <w:rFonts w:eastAsia="Aptos" w:cs="Aptos"/>
        </w:rPr>
        <w:t xml:space="preserve"> Temp/RH/Light data logger (such as </w:t>
      </w:r>
      <w:hyperlink r:id="rId15" w:history="1">
        <w:r w:rsidR="00854B24" w:rsidRPr="005D049E">
          <w:rPr>
            <w:rStyle w:val="Hyperlink"/>
            <w:rFonts w:eastAsia="Aptos" w:cs="Aptos"/>
          </w:rPr>
          <w:t>HOBO MX1104</w:t>
        </w:r>
      </w:hyperlink>
      <w:r w:rsidR="005D049E">
        <w:rPr>
          <w:rFonts w:eastAsia="Aptos" w:cs="Aptos"/>
        </w:rPr>
        <w:t>, Fig. 4</w:t>
      </w:r>
      <w:r w:rsidR="00854B24" w:rsidRPr="005D049E">
        <w:rPr>
          <w:rFonts w:eastAsia="Aptos" w:cs="Aptos"/>
        </w:rPr>
        <w:t>)</w:t>
      </w:r>
      <w:r w:rsidR="00854B24">
        <w:rPr>
          <w:rFonts w:eastAsia="Aptos" w:cs="Aptos"/>
        </w:rPr>
        <w:t xml:space="preserve"> can be used by </w:t>
      </w:r>
      <w:r w:rsidR="5474F7B3" w:rsidRPr="00CE788C">
        <w:rPr>
          <w:rFonts w:eastAsia="Aptos" w:cs="Aptos"/>
        </w:rPr>
        <w:t xml:space="preserve">county agents and growers to </w:t>
      </w:r>
      <w:r w:rsidR="00854B24">
        <w:rPr>
          <w:rFonts w:eastAsia="Aptos" w:cs="Aptos"/>
        </w:rPr>
        <w:t>monitor growing environments</w:t>
      </w:r>
      <w:r w:rsidR="5474F7B3" w:rsidRPr="00CE788C">
        <w:rPr>
          <w:rFonts w:eastAsia="Aptos" w:cs="Aptos"/>
        </w:rPr>
        <w:t>. Th</w:t>
      </w:r>
      <w:r w:rsidR="00B44828" w:rsidRPr="00CE788C">
        <w:rPr>
          <w:rFonts w:eastAsia="Aptos" w:cs="Aptos"/>
        </w:rPr>
        <w:t>is</w:t>
      </w:r>
      <w:r w:rsidR="5474F7B3" w:rsidRPr="00CE788C">
        <w:rPr>
          <w:rFonts w:eastAsia="Aptos" w:cs="Aptos"/>
        </w:rPr>
        <w:t xml:space="preserve"> is a compact data logger that is designed to monitor the temperature</w:t>
      </w:r>
      <w:r w:rsidR="00854B24">
        <w:rPr>
          <w:rFonts w:eastAsia="Aptos" w:cs="Aptos"/>
        </w:rPr>
        <w:t xml:space="preserve">, </w:t>
      </w:r>
      <w:r w:rsidR="5474F7B3" w:rsidRPr="00CE788C">
        <w:rPr>
          <w:rFonts w:eastAsia="Aptos" w:cs="Aptos"/>
        </w:rPr>
        <w:t>RH</w:t>
      </w:r>
      <w:r w:rsidR="00AE7C7A" w:rsidRPr="00CE788C">
        <w:rPr>
          <w:rFonts w:eastAsia="Aptos" w:cs="Aptos"/>
        </w:rPr>
        <w:t xml:space="preserve"> </w:t>
      </w:r>
      <w:r w:rsidR="00854B24">
        <w:rPr>
          <w:rFonts w:eastAsia="Aptos" w:cs="Aptos"/>
        </w:rPr>
        <w:t xml:space="preserve">and light intensity </w:t>
      </w:r>
      <w:r w:rsidR="5474F7B3" w:rsidRPr="00CE788C">
        <w:rPr>
          <w:rFonts w:eastAsia="Aptos" w:cs="Aptos"/>
        </w:rPr>
        <w:t>in a controlled environment</w:t>
      </w:r>
      <w:r w:rsidR="00D8502C">
        <w:rPr>
          <w:rFonts w:eastAsia="Aptos" w:cs="Aptos"/>
        </w:rPr>
        <w:t xml:space="preserve"> system</w:t>
      </w:r>
      <w:r w:rsidR="5474F7B3" w:rsidRPr="00CE788C">
        <w:rPr>
          <w:rFonts w:eastAsia="Aptos" w:cs="Aptos"/>
        </w:rPr>
        <w:t xml:space="preserve">. </w:t>
      </w:r>
      <w:r w:rsidR="00677649" w:rsidRPr="00CE788C">
        <w:rPr>
          <w:rFonts w:eastAsia="Aptos" w:cs="Aptos"/>
        </w:rPr>
        <w:t xml:space="preserve">The </w:t>
      </w:r>
      <w:r w:rsidR="00D8502C">
        <w:rPr>
          <w:rFonts w:eastAsia="Aptos" w:cs="Aptos"/>
        </w:rPr>
        <w:t>light intensity</w:t>
      </w:r>
      <w:r w:rsidR="00677649" w:rsidRPr="00CE788C">
        <w:rPr>
          <w:rFonts w:eastAsia="Aptos" w:cs="Aptos"/>
        </w:rPr>
        <w:t xml:space="preserve"> is measured as</w:t>
      </w:r>
      <w:r w:rsidR="00D8502C">
        <w:rPr>
          <w:rFonts w:eastAsia="Aptos" w:cs="Aptos"/>
        </w:rPr>
        <w:t xml:space="preserve"> </w:t>
      </w:r>
      <w:r w:rsidR="00D8502C">
        <w:rPr>
          <w:rFonts w:eastAsia="Aptos" w:cs="Aptos"/>
        </w:rPr>
        <w:t>Lux</w:t>
      </w:r>
      <w:r w:rsidR="00677649" w:rsidRPr="00CE788C">
        <w:rPr>
          <w:rFonts w:eastAsia="Aptos" w:cs="Aptos"/>
        </w:rPr>
        <w:t xml:space="preserve"> and needs to be converted to</w:t>
      </w:r>
      <w:r w:rsidR="004B01D5" w:rsidRPr="00CE788C">
        <w:t xml:space="preserve"> µmol/m</w:t>
      </w:r>
      <w:r w:rsidR="004B01D5" w:rsidRPr="00CE788C">
        <w:rPr>
          <w:vertAlign w:val="superscript"/>
        </w:rPr>
        <w:t>2</w:t>
      </w:r>
      <w:r w:rsidR="004B01D5" w:rsidRPr="00CE788C">
        <w:t>/s as explained the previous section (Table 1).</w:t>
      </w:r>
      <w:r w:rsidR="00DD24F1">
        <w:t xml:space="preserve"> The data logger is also available with a</w:t>
      </w:r>
      <w:r w:rsidR="006815DD">
        <w:t xml:space="preserve"> solar radiation sensor (such as HOBO MX2309) and a</w:t>
      </w:r>
      <w:r w:rsidR="00DD24F1">
        <w:t xml:space="preserve"> PAR sensor (</w:t>
      </w:r>
      <w:r w:rsidR="00147144">
        <w:t xml:space="preserve">such as </w:t>
      </w:r>
      <w:r w:rsidR="00DD24F1">
        <w:t xml:space="preserve">HOBO MX 2308) that measures light intensity in </w:t>
      </w:r>
      <w:r w:rsidR="006815DD">
        <w:t>W/</w:t>
      </w:r>
      <w:r w:rsidR="006815DD" w:rsidRPr="006815DD">
        <w:t xml:space="preserve"> </w:t>
      </w:r>
      <w:r w:rsidR="006815DD" w:rsidRPr="00CE788C">
        <w:t>m</w:t>
      </w:r>
      <w:r w:rsidR="006815DD" w:rsidRPr="00CE788C">
        <w:rPr>
          <w:vertAlign w:val="superscript"/>
        </w:rPr>
        <w:t>2</w:t>
      </w:r>
      <w:r w:rsidR="006815DD">
        <w:rPr>
          <w:vertAlign w:val="superscript"/>
        </w:rPr>
        <w:t xml:space="preserve"> </w:t>
      </w:r>
      <w:r w:rsidR="006815DD">
        <w:t xml:space="preserve">and </w:t>
      </w:r>
      <w:r w:rsidR="00DD24F1" w:rsidRPr="00CE788C">
        <w:t>µmol/m</w:t>
      </w:r>
      <w:r w:rsidR="00DD24F1" w:rsidRPr="00CE788C">
        <w:rPr>
          <w:vertAlign w:val="superscript"/>
        </w:rPr>
        <w:t>2</w:t>
      </w:r>
      <w:r w:rsidR="00DD24F1" w:rsidRPr="00CE788C">
        <w:t>/s</w:t>
      </w:r>
      <w:r w:rsidR="006815DD">
        <w:t>, respectively</w:t>
      </w:r>
      <w:r w:rsidR="00DD24F1">
        <w:t xml:space="preserve">. </w:t>
      </w:r>
    </w:p>
    <w:p w14:paraId="2C0115C9" w14:textId="7069B786" w:rsidR="00761247" w:rsidRDefault="00B006CD" w:rsidP="00CE788C">
      <w:pPr>
        <w:spacing w:line="360" w:lineRule="auto"/>
      </w:pPr>
      <w:r>
        <w:t>Figure</w:t>
      </w:r>
      <w:r w:rsidR="00EB3480">
        <w:t xml:space="preserve"> 4. An example </w:t>
      </w:r>
      <w:r w:rsidR="00EB3480">
        <w:rPr>
          <w:rFonts w:eastAsia="Aptos" w:cs="Aptos"/>
        </w:rPr>
        <w:t>Temp</w:t>
      </w:r>
      <w:r w:rsidR="005D049E">
        <w:rPr>
          <w:rFonts w:eastAsia="Aptos" w:cs="Aptos"/>
        </w:rPr>
        <w:t>erature</w:t>
      </w:r>
      <w:r w:rsidR="00EB3480">
        <w:rPr>
          <w:rFonts w:eastAsia="Aptos" w:cs="Aptos"/>
        </w:rPr>
        <w:t>/</w:t>
      </w:r>
      <w:r w:rsidR="005D049E">
        <w:rPr>
          <w:rFonts w:eastAsia="Aptos" w:cs="Aptos"/>
        </w:rPr>
        <w:t xml:space="preserve"> </w:t>
      </w:r>
      <w:r w:rsidR="00EB3480">
        <w:rPr>
          <w:rFonts w:eastAsia="Aptos" w:cs="Aptos"/>
        </w:rPr>
        <w:t>R</w:t>
      </w:r>
      <w:r w:rsidR="005D049E">
        <w:rPr>
          <w:rFonts w:eastAsia="Aptos" w:cs="Aptos"/>
        </w:rPr>
        <w:t>elative humidity</w:t>
      </w:r>
      <w:r w:rsidR="00EB3480">
        <w:rPr>
          <w:rFonts w:eastAsia="Aptos" w:cs="Aptos"/>
        </w:rPr>
        <w:t>/</w:t>
      </w:r>
      <w:r w:rsidR="005D049E">
        <w:rPr>
          <w:rFonts w:eastAsia="Aptos" w:cs="Aptos"/>
        </w:rPr>
        <w:t xml:space="preserve"> </w:t>
      </w:r>
      <w:r w:rsidR="00EB3480">
        <w:rPr>
          <w:rFonts w:eastAsia="Aptos" w:cs="Aptos"/>
        </w:rPr>
        <w:t>Light data logger</w:t>
      </w:r>
      <w:r w:rsidR="005D049E">
        <w:rPr>
          <w:rFonts w:eastAsia="Aptos" w:cs="Aptos"/>
        </w:rPr>
        <w:t xml:space="preserve"> for climate monitoring. </w:t>
      </w:r>
    </w:p>
    <w:p w14:paraId="6998E616" w14:textId="4FED42F1" w:rsidR="00B006CD" w:rsidRPr="00CE788C" w:rsidRDefault="00B006CD" w:rsidP="00CE788C">
      <w:pPr>
        <w:spacing w:line="360" w:lineRule="auto"/>
        <w:rPr>
          <w:rFonts w:eastAsia="Aptos" w:cs="Aptos"/>
        </w:rPr>
      </w:pPr>
    </w:p>
    <w:p w14:paraId="33F5FC20" w14:textId="51771A3A" w:rsidR="00761247" w:rsidRPr="00CE788C" w:rsidRDefault="5474F7B3" w:rsidP="00CE788C">
      <w:pPr>
        <w:spacing w:line="360" w:lineRule="auto"/>
        <w:rPr>
          <w:rFonts w:eastAsia="Aptos" w:cs="Aptos"/>
          <w:u w:val="single"/>
        </w:rPr>
      </w:pPr>
      <w:r w:rsidRPr="00CE788C">
        <w:rPr>
          <w:rFonts w:eastAsia="Aptos" w:cs="Aptos"/>
          <w:u w:val="single"/>
        </w:rPr>
        <w:t>General Use</w:t>
      </w:r>
    </w:p>
    <w:p w14:paraId="75817935" w14:textId="3DA89E77" w:rsidR="00761247" w:rsidRPr="00CE788C" w:rsidRDefault="5474F7B3" w:rsidP="00CE788C">
      <w:pPr>
        <w:spacing w:line="360" w:lineRule="auto"/>
        <w:rPr>
          <w:rFonts w:eastAsia="Aptos" w:cs="Aptos"/>
        </w:rPr>
      </w:pPr>
      <w:r w:rsidRPr="00CE788C">
        <w:rPr>
          <w:rFonts w:eastAsia="Aptos" w:cs="Aptos"/>
        </w:rPr>
        <w:t xml:space="preserve">The HOBO </w:t>
      </w:r>
      <w:r w:rsidR="004B01D5" w:rsidRPr="00CE788C">
        <w:rPr>
          <w:rFonts w:eastAsia="Aptos" w:cs="Aptos"/>
        </w:rPr>
        <w:t>MX</w:t>
      </w:r>
      <w:r w:rsidR="006815DD">
        <w:rPr>
          <w:rFonts w:eastAsia="Aptos" w:cs="Aptos"/>
        </w:rPr>
        <w:t>1104</w:t>
      </w:r>
      <w:r w:rsidR="004B01D5" w:rsidRPr="00CE788C">
        <w:rPr>
          <w:rFonts w:eastAsia="Aptos" w:cs="Aptos"/>
        </w:rPr>
        <w:t xml:space="preserve"> </w:t>
      </w:r>
      <w:r w:rsidRPr="00CE788C">
        <w:rPr>
          <w:rFonts w:eastAsia="Aptos" w:cs="Aptos"/>
        </w:rPr>
        <w:t>is valuable for microclimate monitoring, record-keeping, and backup monitoring within</w:t>
      </w:r>
      <w:r w:rsidR="004B01D5" w:rsidRPr="00CE788C">
        <w:rPr>
          <w:rFonts w:eastAsia="Aptos" w:cs="Aptos"/>
        </w:rPr>
        <w:t xml:space="preserve"> </w:t>
      </w:r>
      <w:r w:rsidRPr="00CE788C">
        <w:rPr>
          <w:rFonts w:eastAsia="Aptos" w:cs="Aptos"/>
        </w:rPr>
        <w:t>controlled environment</w:t>
      </w:r>
      <w:r w:rsidR="004B01D5" w:rsidRPr="00CE788C">
        <w:rPr>
          <w:rFonts w:eastAsia="Aptos" w:cs="Aptos"/>
        </w:rPr>
        <w:t>s</w:t>
      </w:r>
      <w:r w:rsidRPr="00CE788C">
        <w:rPr>
          <w:rFonts w:eastAsia="Aptos" w:cs="Aptos"/>
        </w:rPr>
        <w:t>.</w:t>
      </w:r>
      <w:r w:rsidR="000D155A" w:rsidRPr="00CE788C">
        <w:rPr>
          <w:rFonts w:eastAsia="Aptos" w:cs="Aptos"/>
        </w:rPr>
        <w:t xml:space="preserve"> </w:t>
      </w:r>
      <w:r w:rsidR="00FD14DA" w:rsidRPr="00CE788C">
        <w:rPr>
          <w:rFonts w:eastAsia="Aptos" w:cs="Aptos"/>
        </w:rPr>
        <w:t xml:space="preserve">There is a screen on the sensor to show current </w:t>
      </w:r>
      <w:r w:rsidR="0009614B" w:rsidRPr="00CE788C">
        <w:rPr>
          <w:rFonts w:eastAsia="Aptos" w:cs="Aptos"/>
        </w:rPr>
        <w:t>temperature,</w:t>
      </w:r>
      <w:r w:rsidR="00E62E80" w:rsidRPr="00CE788C">
        <w:rPr>
          <w:rFonts w:eastAsia="Aptos" w:cs="Aptos"/>
        </w:rPr>
        <w:t xml:space="preserve"> RH and light intensity. </w:t>
      </w:r>
      <w:r w:rsidR="000D155A" w:rsidRPr="00CE788C">
        <w:rPr>
          <w:rFonts w:eastAsia="Aptos" w:cs="Aptos"/>
        </w:rPr>
        <w:t xml:space="preserve">When sensors are placed strategically across multiple </w:t>
      </w:r>
      <w:r w:rsidR="007776A4" w:rsidRPr="00CE788C">
        <w:rPr>
          <w:rFonts w:eastAsia="Aptos" w:cs="Aptos"/>
        </w:rPr>
        <w:t>zone</w:t>
      </w:r>
      <w:r w:rsidR="007318D5">
        <w:rPr>
          <w:rFonts w:eastAsia="Aptos" w:cs="Aptos"/>
        </w:rPr>
        <w:t>s</w:t>
      </w:r>
      <w:r w:rsidR="007776A4" w:rsidRPr="00CE788C">
        <w:rPr>
          <w:rFonts w:eastAsia="Aptos" w:cs="Aptos"/>
        </w:rPr>
        <w:t xml:space="preserve"> </w:t>
      </w:r>
      <w:r w:rsidR="00630D72" w:rsidRPr="00CE788C">
        <w:rPr>
          <w:rFonts w:eastAsia="Aptos" w:cs="Aptos"/>
        </w:rPr>
        <w:t>within the CEA facilities</w:t>
      </w:r>
      <w:r w:rsidR="007776A4" w:rsidRPr="00CE788C">
        <w:rPr>
          <w:rFonts w:eastAsia="Aptos" w:cs="Aptos"/>
        </w:rPr>
        <w:t>, they</w:t>
      </w:r>
      <w:r w:rsidR="00630D72" w:rsidRPr="00CE788C">
        <w:rPr>
          <w:rFonts w:eastAsia="Aptos" w:cs="Aptos"/>
        </w:rPr>
        <w:t xml:space="preserve"> </w:t>
      </w:r>
      <w:r w:rsidR="00293425" w:rsidRPr="00CE788C">
        <w:rPr>
          <w:rFonts w:eastAsia="Aptos" w:cs="Aptos"/>
        </w:rPr>
        <w:t>provide real-time reading</w:t>
      </w:r>
      <w:r w:rsidRPr="00CE788C">
        <w:rPr>
          <w:rFonts w:eastAsia="Aptos" w:cs="Aptos"/>
        </w:rPr>
        <w:t xml:space="preserve">. </w:t>
      </w:r>
      <w:r w:rsidR="00D04BFF" w:rsidRPr="00CE788C">
        <w:rPr>
          <w:rFonts w:eastAsia="Aptos" w:cs="Aptos"/>
        </w:rPr>
        <w:t xml:space="preserve">These spatially distributed readings help growers evaluate environmental </w:t>
      </w:r>
      <w:r w:rsidRPr="00CE788C">
        <w:rPr>
          <w:rFonts w:eastAsia="Aptos" w:cs="Aptos"/>
        </w:rPr>
        <w:t xml:space="preserve">uniformity, detects hotspots or humidity gradients </w:t>
      </w:r>
      <w:r w:rsidR="000B3710" w:rsidRPr="00CE788C">
        <w:rPr>
          <w:rFonts w:eastAsia="Aptos" w:cs="Aptos"/>
        </w:rPr>
        <w:t xml:space="preserve">and verify whether the climate control </w:t>
      </w:r>
      <w:r w:rsidR="00EC249D" w:rsidRPr="00CE788C">
        <w:rPr>
          <w:rFonts w:eastAsia="Aptos" w:cs="Aptos"/>
        </w:rPr>
        <w:t>system (e.g, heater</w:t>
      </w:r>
      <w:r w:rsidR="006D4423" w:rsidRPr="00CE788C">
        <w:rPr>
          <w:rFonts w:eastAsia="Aptos" w:cs="Aptos"/>
        </w:rPr>
        <w:t>s</w:t>
      </w:r>
      <w:r w:rsidR="00EC249D" w:rsidRPr="00CE788C">
        <w:rPr>
          <w:rFonts w:eastAsia="Aptos" w:cs="Aptos"/>
        </w:rPr>
        <w:t xml:space="preserve">, ventilation, fans, </w:t>
      </w:r>
      <w:r w:rsidR="006D4423" w:rsidRPr="00CE788C">
        <w:rPr>
          <w:rFonts w:eastAsia="Aptos" w:cs="Aptos"/>
        </w:rPr>
        <w:t>sprinklers</w:t>
      </w:r>
      <w:r w:rsidR="00EC249D" w:rsidRPr="00CE788C">
        <w:rPr>
          <w:rFonts w:eastAsia="Aptos" w:cs="Aptos"/>
        </w:rPr>
        <w:t>) is performing as intended</w:t>
      </w:r>
      <w:r w:rsidR="006D4423" w:rsidRPr="00CE788C">
        <w:rPr>
          <w:rFonts w:eastAsia="Aptos" w:cs="Aptos"/>
        </w:rPr>
        <w:t xml:space="preserve">. </w:t>
      </w:r>
      <w:r w:rsidR="2D59621A" w:rsidRPr="00CE788C">
        <w:rPr>
          <w:rFonts w:eastAsia="Aptos" w:cs="Aptos"/>
        </w:rPr>
        <w:t xml:space="preserve"> </w:t>
      </w:r>
      <w:r w:rsidR="3724AAED" w:rsidRPr="00CE788C">
        <w:rPr>
          <w:rFonts w:eastAsia="Aptos" w:cs="Aptos"/>
        </w:rPr>
        <w:t xml:space="preserve">Selecting the right mounting location will depend on </w:t>
      </w:r>
      <w:r w:rsidR="3724AAED" w:rsidRPr="00CE788C">
        <w:rPr>
          <w:rFonts w:eastAsia="Aptos" w:cs="Aptos"/>
        </w:rPr>
        <w:lastRenderedPageBreak/>
        <w:t xml:space="preserve">the crop, and the growers' goals. </w:t>
      </w:r>
      <w:r w:rsidR="4760C9DA" w:rsidRPr="00CE788C">
        <w:rPr>
          <w:rFonts w:eastAsia="Aptos" w:cs="Aptos"/>
        </w:rPr>
        <w:t>For example, placing the sensor at canopy level will capt</w:t>
      </w:r>
      <w:r w:rsidR="07B3DC3D" w:rsidRPr="00CE788C">
        <w:rPr>
          <w:rFonts w:eastAsia="Aptos" w:cs="Aptos"/>
        </w:rPr>
        <w:t xml:space="preserve">ure the climate the plant is currently experiencing, making this location the most common and informative. If the goal is </w:t>
      </w:r>
      <w:r w:rsidR="704ED927" w:rsidRPr="00CE788C">
        <w:rPr>
          <w:rFonts w:eastAsia="Aptos" w:cs="Aptos"/>
        </w:rPr>
        <w:t>to measure</w:t>
      </w:r>
      <w:r w:rsidR="7818B652" w:rsidRPr="00CE788C">
        <w:rPr>
          <w:rFonts w:eastAsia="Aptos" w:cs="Aptos"/>
        </w:rPr>
        <w:t xml:space="preserve"> the media temperature and moisture, mounting the </w:t>
      </w:r>
      <w:r w:rsidR="7D828A07" w:rsidRPr="00CE788C">
        <w:rPr>
          <w:rFonts w:eastAsia="Aptos" w:cs="Aptos"/>
        </w:rPr>
        <w:t>sensor</w:t>
      </w:r>
      <w:r w:rsidR="7818B652" w:rsidRPr="00CE788C">
        <w:rPr>
          <w:rFonts w:eastAsia="Aptos" w:cs="Aptos"/>
        </w:rPr>
        <w:t xml:space="preserve"> at the root-zone may be more beneficial. </w:t>
      </w:r>
      <w:r w:rsidR="00876E2F" w:rsidRPr="00CE788C">
        <w:rPr>
          <w:rFonts w:eastAsia="Aptos" w:cs="Aptos"/>
        </w:rPr>
        <w:t xml:space="preserve">The sensor </w:t>
      </w:r>
      <w:r w:rsidR="006D6A78" w:rsidRPr="00CE788C">
        <w:rPr>
          <w:rFonts w:eastAsia="Aptos" w:cs="Aptos"/>
        </w:rPr>
        <w:t xml:space="preserve">also has Bluetooth enabled, wireless logging function that </w:t>
      </w:r>
      <w:r w:rsidRPr="00CE788C">
        <w:rPr>
          <w:rFonts w:eastAsia="Aptos" w:cs="Aptos"/>
        </w:rPr>
        <w:t xml:space="preserve">keeps a record of the climate </w:t>
      </w:r>
      <w:r w:rsidR="1EB9C643" w:rsidRPr="00CE788C">
        <w:rPr>
          <w:rFonts w:eastAsia="Aptos" w:cs="Aptos"/>
        </w:rPr>
        <w:t>history.</w:t>
      </w:r>
      <w:r w:rsidR="00074149" w:rsidRPr="00CE788C">
        <w:rPr>
          <w:rFonts w:eastAsia="Aptos" w:cs="Aptos"/>
        </w:rPr>
        <w:t xml:space="preserve"> </w:t>
      </w:r>
      <w:r w:rsidR="004E40A2" w:rsidRPr="00CE788C">
        <w:rPr>
          <w:rFonts w:eastAsia="Aptos" w:cs="Aptos"/>
        </w:rPr>
        <w:t xml:space="preserve">The sensor is recommended to be mounted slightly above the plant canopy and shielded from direct radiation to capture environmental conditions most representative of plant growth. </w:t>
      </w:r>
      <w:r w:rsidR="00074149" w:rsidRPr="00CE788C">
        <w:rPr>
          <w:rFonts w:eastAsia="Aptos" w:cs="Aptos"/>
        </w:rPr>
        <w:t>Integrating climate data with plant performance and yield information helps guide routine climate-management decisions, such as adjusting ventilation, heating, or shading, allowing growers to make timely corrections that improve crop uniformity and reduce plant stress.</w:t>
      </w:r>
    </w:p>
    <w:p w14:paraId="2E904DF1" w14:textId="64FF6173" w:rsidR="00761247" w:rsidRPr="00CE788C" w:rsidRDefault="5474F7B3" w:rsidP="00CE788C">
      <w:pPr>
        <w:spacing w:line="360" w:lineRule="auto"/>
        <w:rPr>
          <w:rFonts w:eastAsia="Aptos" w:cs="Aptos"/>
        </w:rPr>
      </w:pPr>
      <w:r w:rsidRPr="00CE788C">
        <w:rPr>
          <w:rFonts w:eastAsia="Aptos" w:cs="Aptos"/>
        </w:rPr>
        <w:t>The temperature can be measured from -4 °F to 1</w:t>
      </w:r>
      <w:r w:rsidR="007B5ED0">
        <w:rPr>
          <w:rFonts w:eastAsia="Aptos" w:cs="Aptos"/>
        </w:rPr>
        <w:t>58</w:t>
      </w:r>
      <w:r w:rsidRPr="00CE788C">
        <w:rPr>
          <w:rFonts w:eastAsia="Aptos" w:cs="Aptos"/>
        </w:rPr>
        <w:t xml:space="preserve"> °F</w:t>
      </w:r>
      <w:r w:rsidR="00F94E95" w:rsidRPr="00CE788C">
        <w:rPr>
          <w:rFonts w:eastAsia="Aptos" w:cs="Aptos"/>
        </w:rPr>
        <w:t xml:space="preserve"> (-</w:t>
      </w:r>
      <w:r w:rsidR="007B5ED0">
        <w:rPr>
          <w:rFonts w:eastAsia="Aptos" w:cs="Aptos"/>
        </w:rPr>
        <w:t>20</w:t>
      </w:r>
      <w:r w:rsidR="00F94E95" w:rsidRPr="00CE788C">
        <w:rPr>
          <w:rFonts w:eastAsia="Aptos" w:cs="Aptos"/>
        </w:rPr>
        <w:t xml:space="preserve"> °C to </w:t>
      </w:r>
      <w:r w:rsidR="007B5ED0">
        <w:rPr>
          <w:rFonts w:eastAsia="Aptos" w:cs="Aptos"/>
        </w:rPr>
        <w:t>70</w:t>
      </w:r>
      <w:r w:rsidR="00F94E95" w:rsidRPr="00CE788C">
        <w:rPr>
          <w:rFonts w:eastAsia="Aptos" w:cs="Aptos"/>
        </w:rPr>
        <w:t xml:space="preserve"> °C)</w:t>
      </w:r>
      <w:r w:rsidR="00045DBE">
        <w:rPr>
          <w:rFonts w:eastAsia="Aptos" w:cs="Aptos"/>
        </w:rPr>
        <w:t xml:space="preserve"> and it measures RH</w:t>
      </w:r>
      <w:r w:rsidRPr="00CE788C">
        <w:rPr>
          <w:rFonts w:eastAsia="Aptos" w:cs="Aptos"/>
        </w:rPr>
        <w:t xml:space="preserve"> from </w:t>
      </w:r>
      <w:r w:rsidR="00C24226" w:rsidRPr="00CE788C">
        <w:rPr>
          <w:rFonts w:eastAsia="Aptos" w:cs="Aptos"/>
        </w:rPr>
        <w:t>0%</w:t>
      </w:r>
      <w:r w:rsidRPr="00CE788C">
        <w:rPr>
          <w:rFonts w:eastAsia="Aptos" w:cs="Aptos"/>
        </w:rPr>
        <w:t>-</w:t>
      </w:r>
      <w:r w:rsidR="003D56D8">
        <w:rPr>
          <w:rFonts w:eastAsia="Aptos" w:cs="Aptos"/>
        </w:rPr>
        <w:t>100</w:t>
      </w:r>
      <w:r w:rsidRPr="00CE788C">
        <w:rPr>
          <w:rFonts w:eastAsia="Aptos" w:cs="Aptos"/>
        </w:rPr>
        <w:t>%</w:t>
      </w:r>
      <w:r w:rsidR="0059776A" w:rsidRPr="00CE788C">
        <w:rPr>
          <w:rFonts w:eastAsia="Aptos" w:cs="Aptos"/>
        </w:rPr>
        <w:t xml:space="preserve">, </w:t>
      </w:r>
      <w:r w:rsidR="00045DBE">
        <w:rPr>
          <w:rFonts w:eastAsia="Aptos" w:cs="Aptos"/>
        </w:rPr>
        <w:t>although</w:t>
      </w:r>
      <w:r w:rsidR="0059776A" w:rsidRPr="00CE788C">
        <w:rPr>
          <w:rFonts w:eastAsia="Aptos" w:cs="Aptos"/>
        </w:rPr>
        <w:t xml:space="preserve"> prolonged exposure to </w:t>
      </w:r>
      <w:r w:rsidR="00E46CC0">
        <w:rPr>
          <w:rFonts w:eastAsia="Aptos" w:cs="Aptos"/>
        </w:rPr>
        <w:t xml:space="preserve">high humid and temperature </w:t>
      </w:r>
      <w:r w:rsidR="0059776A" w:rsidRPr="00CE788C">
        <w:rPr>
          <w:rFonts w:eastAsia="Aptos" w:cs="Aptos"/>
        </w:rPr>
        <w:t>greenhouse conditions can compromise its accuracy over time.</w:t>
      </w:r>
      <w:r w:rsidR="009E0DFB" w:rsidRPr="00CE788C">
        <w:rPr>
          <w:rFonts w:eastAsia="Aptos" w:cs="Aptos"/>
        </w:rPr>
        <w:t xml:space="preserve"> </w:t>
      </w:r>
      <w:r w:rsidR="00AD7473">
        <w:rPr>
          <w:rFonts w:eastAsia="Aptos" w:cs="Aptos"/>
        </w:rPr>
        <w:t xml:space="preserve">It also measures </w:t>
      </w:r>
      <w:r w:rsidR="000B3EDB">
        <w:rPr>
          <w:rFonts w:eastAsia="Aptos" w:cs="Aptos"/>
        </w:rPr>
        <w:t>light ranges from 0 up to 167,73</w:t>
      </w:r>
      <w:r w:rsidR="00890816">
        <w:rPr>
          <w:rFonts w:eastAsia="Aptos" w:cs="Aptos"/>
        </w:rPr>
        <w:t>1 lux (</w:t>
      </w:r>
      <w:r w:rsidR="00404551" w:rsidRPr="00404551">
        <w:rPr>
          <w:rFonts w:eastAsia="Aptos" w:cs="Aptos"/>
        </w:rPr>
        <w:t>≈</w:t>
      </w:r>
      <w:r w:rsidR="00404551">
        <w:rPr>
          <w:rFonts w:eastAsia="Aptos" w:cs="Aptos"/>
        </w:rPr>
        <w:t xml:space="preserve">3106 </w:t>
      </w:r>
      <w:r w:rsidR="00C52695" w:rsidRPr="00CE788C">
        <w:t>µmol/m</w:t>
      </w:r>
      <w:r w:rsidR="00C52695" w:rsidRPr="00CE788C">
        <w:rPr>
          <w:vertAlign w:val="superscript"/>
        </w:rPr>
        <w:t>2</w:t>
      </w:r>
      <w:r w:rsidR="00C52695" w:rsidRPr="00CE788C">
        <w:t>/s</w:t>
      </w:r>
      <w:r w:rsidR="00C52695">
        <w:t>)</w:t>
      </w:r>
      <w:r w:rsidR="00AD7473">
        <w:rPr>
          <w:rFonts w:eastAsia="Aptos" w:cs="Aptos"/>
        </w:rPr>
        <w:t xml:space="preserve">. </w:t>
      </w:r>
      <w:r w:rsidRPr="00CE788C">
        <w:rPr>
          <w:rFonts w:eastAsia="Aptos" w:cs="Aptos"/>
        </w:rPr>
        <w:t>The logging interval can be set anywhere between 1 second and 18 hours</w:t>
      </w:r>
      <w:r w:rsidR="006868BC" w:rsidRPr="00CE788C">
        <w:rPr>
          <w:rFonts w:eastAsia="Aptos" w:cs="Aptos"/>
        </w:rPr>
        <w:t>.</w:t>
      </w:r>
      <w:r w:rsidR="003E7FC9" w:rsidRPr="00CE788C">
        <w:rPr>
          <w:rFonts w:eastAsia="Aptos" w:cs="Aptos"/>
        </w:rPr>
        <w:t xml:space="preserve"> For </w:t>
      </w:r>
      <w:r w:rsidR="00CD76DD" w:rsidRPr="00CE788C">
        <w:rPr>
          <w:rFonts w:eastAsia="Aptos" w:cs="Aptos"/>
        </w:rPr>
        <w:t>routine commercial production monitoring, a logging interval between 10 to 30 mins is recommended.</w:t>
      </w:r>
      <w:r w:rsidR="0020627B" w:rsidRPr="00CE788C">
        <w:rPr>
          <w:rFonts w:eastAsia="Aptos" w:cs="Aptos"/>
        </w:rPr>
        <w:t xml:space="preserve"> </w:t>
      </w:r>
      <w:r w:rsidR="00287C1C" w:rsidRPr="00287C1C">
        <w:rPr>
          <w:rFonts w:eastAsia="Aptos" w:cs="Aptos"/>
        </w:rPr>
        <w:t>For Extension agent site visits, the logging interval can be set to 20–60 seconds to quickly assess climate conditions at multiple locations within the greenhouse</w:t>
      </w:r>
      <w:r w:rsidR="00C52695">
        <w:rPr>
          <w:rFonts w:eastAsia="Aptos" w:cs="Aptos"/>
        </w:rPr>
        <w:t>.</w:t>
      </w:r>
      <w:r w:rsidR="00287C1C">
        <w:rPr>
          <w:rFonts w:eastAsia="Aptos" w:cs="Aptos"/>
        </w:rPr>
        <w:t xml:space="preserve"> </w:t>
      </w:r>
      <w:r w:rsidR="005F57AF" w:rsidRPr="00CE788C">
        <w:rPr>
          <w:rFonts w:eastAsia="Aptos" w:cs="Aptos"/>
        </w:rPr>
        <w:t xml:space="preserve">Data can be </w:t>
      </w:r>
      <w:r w:rsidR="004961C2" w:rsidRPr="00CE788C">
        <w:rPr>
          <w:rFonts w:eastAsia="Aptos" w:cs="Aptos"/>
        </w:rPr>
        <w:t xml:space="preserve">accessed and </w:t>
      </w:r>
      <w:r w:rsidR="005F57AF" w:rsidRPr="00CE788C">
        <w:rPr>
          <w:rFonts w:eastAsia="Aptos" w:cs="Aptos"/>
        </w:rPr>
        <w:t>downloaded using mobile device</w:t>
      </w:r>
      <w:r w:rsidR="005E3D4C">
        <w:rPr>
          <w:rFonts w:eastAsia="Aptos" w:cs="Aptos"/>
        </w:rPr>
        <w:t>s through Bluetooth</w:t>
      </w:r>
      <w:r w:rsidR="780210B4" w:rsidRPr="00CE788C">
        <w:rPr>
          <w:rFonts w:eastAsia="Aptos" w:cs="Aptos"/>
        </w:rPr>
        <w:t>,</w:t>
      </w:r>
      <w:r w:rsidR="005F57AF" w:rsidRPr="00CE788C">
        <w:rPr>
          <w:rFonts w:eastAsia="Aptos" w:cs="Aptos"/>
        </w:rPr>
        <w:t xml:space="preserve"> or computer</w:t>
      </w:r>
      <w:r w:rsidR="004961C2" w:rsidRPr="00CE788C">
        <w:rPr>
          <w:rFonts w:eastAsia="Aptos" w:cs="Aptos"/>
        </w:rPr>
        <w:t xml:space="preserve"> using a free app</w:t>
      </w:r>
      <w:r w:rsidR="4ECAB223" w:rsidRPr="00CE788C">
        <w:rPr>
          <w:rFonts w:eastAsia="Aptos" w:cs="Aptos"/>
        </w:rPr>
        <w:t>, or USB cord provided</w:t>
      </w:r>
      <w:r w:rsidR="004961C2" w:rsidRPr="00CE788C">
        <w:rPr>
          <w:rFonts w:eastAsia="Aptos" w:cs="Aptos"/>
        </w:rPr>
        <w:t xml:space="preserve">. </w:t>
      </w:r>
      <w:r w:rsidRPr="00CE788C">
        <w:rPr>
          <w:rFonts w:eastAsia="Aptos" w:cs="Aptos"/>
        </w:rPr>
        <w:t xml:space="preserve"> </w:t>
      </w:r>
    </w:p>
    <w:p w14:paraId="00D2217F" w14:textId="13D429D4" w:rsidR="00761247" w:rsidRPr="00CE788C" w:rsidRDefault="5474F7B3" w:rsidP="00CE788C">
      <w:pPr>
        <w:spacing w:line="360" w:lineRule="auto"/>
        <w:rPr>
          <w:rFonts w:eastAsia="Aptos" w:cs="Aptos"/>
          <w:u w:val="single"/>
        </w:rPr>
      </w:pPr>
      <w:r w:rsidRPr="00CE788C">
        <w:rPr>
          <w:rFonts w:eastAsia="Aptos" w:cs="Aptos"/>
          <w:u w:val="single"/>
        </w:rPr>
        <w:t xml:space="preserve">Cost/ Alternatives </w:t>
      </w:r>
    </w:p>
    <w:p w14:paraId="15AF4F08" w14:textId="02930E01" w:rsidR="00761247" w:rsidRPr="00CE788C" w:rsidRDefault="5474F7B3" w:rsidP="00CE788C">
      <w:pPr>
        <w:spacing w:line="360" w:lineRule="auto"/>
        <w:rPr>
          <w:rFonts w:eastAsia="Aptos" w:cs="Aptos"/>
        </w:rPr>
      </w:pPr>
      <w:r w:rsidRPr="00CE788C">
        <w:rPr>
          <w:rFonts w:eastAsia="Aptos" w:cs="Aptos"/>
        </w:rPr>
        <w:t xml:space="preserve">The HOBO </w:t>
      </w:r>
      <w:r w:rsidR="00BB1CD8" w:rsidRPr="00CE788C">
        <w:rPr>
          <w:rFonts w:eastAsia="Aptos" w:cs="Aptos"/>
        </w:rPr>
        <w:t>MX</w:t>
      </w:r>
      <w:r w:rsidR="00287C1C">
        <w:rPr>
          <w:rFonts w:eastAsia="Aptos" w:cs="Aptos"/>
        </w:rPr>
        <w:t>1104</w:t>
      </w:r>
      <w:r w:rsidR="00BB1CD8" w:rsidRPr="00CE788C">
        <w:rPr>
          <w:rFonts w:eastAsia="Aptos" w:cs="Aptos"/>
        </w:rPr>
        <w:t xml:space="preserve"> </w:t>
      </w:r>
      <w:r w:rsidRPr="00CE788C">
        <w:rPr>
          <w:rFonts w:eastAsia="Aptos" w:cs="Aptos"/>
        </w:rPr>
        <w:t xml:space="preserve">is currently listed for </w:t>
      </w:r>
      <w:r w:rsidR="00752E25">
        <w:rPr>
          <w:rFonts w:eastAsia="Aptos" w:cs="Aptos"/>
        </w:rPr>
        <w:t>$</w:t>
      </w:r>
      <w:r w:rsidR="00287C1C">
        <w:rPr>
          <w:rFonts w:eastAsia="Aptos" w:cs="Aptos"/>
        </w:rPr>
        <w:t>23</w:t>
      </w:r>
      <w:r w:rsidR="00752E25">
        <w:rPr>
          <w:rFonts w:eastAsia="Aptos" w:cs="Aptos"/>
        </w:rPr>
        <w:t>5</w:t>
      </w:r>
      <w:r w:rsidR="00B44828" w:rsidRPr="00CE788C">
        <w:rPr>
          <w:rFonts w:eastAsia="Aptos" w:cs="Aptos"/>
        </w:rPr>
        <w:t xml:space="preserve"> </w:t>
      </w:r>
      <w:r w:rsidRPr="00CE788C">
        <w:rPr>
          <w:rFonts w:eastAsia="Aptos" w:cs="Aptos"/>
        </w:rPr>
        <w:t xml:space="preserve">by the manufacturer. </w:t>
      </w:r>
      <w:r w:rsidR="002D7378" w:rsidRPr="002D7378">
        <w:rPr>
          <w:rFonts w:eastAsia="Aptos" w:cs="Aptos"/>
        </w:rPr>
        <w:t>Alternative options include simpler standalone sensors, basic thermostats, or more advanced climate stations that enable the integration of multiple sensors.</w:t>
      </w:r>
      <w:r w:rsidR="002D7378">
        <w:rPr>
          <w:rFonts w:eastAsia="Aptos" w:cs="Aptos"/>
        </w:rPr>
        <w:t xml:space="preserve"> </w:t>
      </w:r>
      <w:r w:rsidR="0030431A" w:rsidRPr="0030431A">
        <w:rPr>
          <w:rFonts w:eastAsia="Aptos" w:cs="Aptos"/>
        </w:rPr>
        <w:t>When comparing options, it is important to consider the measured parameters, units, sensor accuracy and range, deployment environment, connectivity and data access, software and data management,</w:t>
      </w:r>
      <w:r w:rsidR="0030431A">
        <w:rPr>
          <w:rFonts w:eastAsia="Aptos" w:cs="Aptos"/>
        </w:rPr>
        <w:t xml:space="preserve"> </w:t>
      </w:r>
      <w:proofErr w:type="gramStart"/>
      <w:r w:rsidR="0030431A" w:rsidRPr="0030431A">
        <w:rPr>
          <w:rFonts w:eastAsia="Aptos" w:cs="Aptos"/>
        </w:rPr>
        <w:t>future plans</w:t>
      </w:r>
      <w:proofErr w:type="gramEnd"/>
      <w:r w:rsidR="0030431A" w:rsidRPr="0030431A">
        <w:rPr>
          <w:rFonts w:eastAsia="Aptos" w:cs="Aptos"/>
        </w:rPr>
        <w:t xml:space="preserve"> </w:t>
      </w:r>
      <w:r w:rsidR="0030431A">
        <w:rPr>
          <w:rFonts w:eastAsia="Aptos" w:cs="Aptos"/>
        </w:rPr>
        <w:t xml:space="preserve">and total costs </w:t>
      </w:r>
      <w:r w:rsidR="0030431A" w:rsidRPr="0030431A">
        <w:rPr>
          <w:rFonts w:eastAsia="Aptos" w:cs="Aptos"/>
        </w:rPr>
        <w:t>for integrating additional sensors.</w:t>
      </w:r>
      <w:r w:rsidR="0030431A">
        <w:rPr>
          <w:rFonts w:eastAsia="Aptos" w:cs="Aptos"/>
        </w:rPr>
        <w:t xml:space="preserve"> </w:t>
      </w:r>
      <w:r w:rsidR="0017425D" w:rsidRPr="00CE788C">
        <w:rPr>
          <w:rFonts w:eastAsia="Aptos" w:cs="Aptos"/>
        </w:rPr>
        <w:t xml:space="preserve">More advanced </w:t>
      </w:r>
      <w:r w:rsidR="00575104" w:rsidRPr="00CE788C">
        <w:rPr>
          <w:rFonts w:eastAsia="Aptos" w:cs="Aptos"/>
        </w:rPr>
        <w:t xml:space="preserve">integrated </w:t>
      </w:r>
      <w:r w:rsidR="0017425D" w:rsidRPr="00CE788C">
        <w:rPr>
          <w:rFonts w:eastAsia="Aptos" w:cs="Aptos"/>
        </w:rPr>
        <w:t xml:space="preserve">climate-management systems are also available; these integrate multiple sensors with </w:t>
      </w:r>
      <w:r w:rsidR="0017425D" w:rsidRPr="00CE788C">
        <w:rPr>
          <w:rFonts w:eastAsia="Aptos" w:cs="Aptos"/>
        </w:rPr>
        <w:lastRenderedPageBreak/>
        <w:t xml:space="preserve">fans, vents, heaters, or irrigation systems through a climate computer. While these systems offer automated control and higher precision, they are significantly more expensive and may require professional installation and ongoing maintenance. </w:t>
      </w:r>
    </w:p>
    <w:p w14:paraId="1DA6440C" w14:textId="77777777" w:rsidR="00240F3B" w:rsidRPr="00CE788C" w:rsidRDefault="00240F3B" w:rsidP="00CE788C">
      <w:pPr>
        <w:spacing w:line="360" w:lineRule="auto"/>
      </w:pPr>
    </w:p>
    <w:p w14:paraId="5DE17E2F" w14:textId="43E22441" w:rsidR="00240F3B" w:rsidRPr="00E50C8D" w:rsidRDefault="00240F3B" w:rsidP="00CE788C">
      <w:pPr>
        <w:spacing w:line="360" w:lineRule="auto"/>
        <w:rPr>
          <w:b/>
          <w:bCs/>
        </w:rPr>
      </w:pPr>
      <w:r w:rsidRPr="00E50C8D">
        <w:rPr>
          <w:b/>
          <w:bCs/>
        </w:rPr>
        <w:t>Additional resources:</w:t>
      </w:r>
    </w:p>
    <w:p w14:paraId="0A417279" w14:textId="1898326E" w:rsidR="00BD1E82" w:rsidRDefault="00BD1E82" w:rsidP="00CE788C">
      <w:pPr>
        <w:spacing w:line="360" w:lineRule="auto"/>
      </w:pPr>
      <w:r w:rsidRPr="00BD1E82">
        <w:t>Byrd, C., Ying, Q. and Sharma, A.</w:t>
      </w:r>
      <w:r>
        <w:t xml:space="preserve"> </w:t>
      </w:r>
      <w:r w:rsidRPr="00BD1E82">
        <w:t>(2025). Monitoring pH and EC in Greenhouse Production. CCD-ER-01. Lexington, KY: Center for Crop Diversification, University of Kentucky Martin Gatton College of Agriculture, Food and Environment.</w:t>
      </w:r>
    </w:p>
    <w:p w14:paraId="206FDFBE" w14:textId="08AE154D" w:rsidR="00920EA7" w:rsidRDefault="006B6E26" w:rsidP="006B6E26">
      <w:pPr>
        <w:spacing w:line="360" w:lineRule="auto"/>
      </w:pPr>
      <w:r w:rsidRPr="00CE788C">
        <w:t xml:space="preserve">Fisher, </w:t>
      </w:r>
      <w:proofErr w:type="spellStart"/>
      <w:proofErr w:type="gramStart"/>
      <w:r w:rsidRPr="00CE788C">
        <w:t>R.Stephen</w:t>
      </w:r>
      <w:proofErr w:type="spellEnd"/>
      <w:proofErr w:type="gramEnd"/>
      <w:r w:rsidRPr="00CE788C">
        <w:t xml:space="preserve">. </w:t>
      </w:r>
      <w:r>
        <w:t xml:space="preserve">(2002). </w:t>
      </w:r>
      <w:r w:rsidRPr="00CE788C">
        <w:t xml:space="preserve">Groundwater Quality in Kentucky: </w:t>
      </w:r>
      <w:proofErr w:type="spellStart"/>
      <w:r w:rsidRPr="00CE788C">
        <w:t>pH.</w:t>
      </w:r>
      <w:proofErr w:type="spellEnd"/>
      <w:r w:rsidRPr="00CE788C">
        <w:t xml:space="preserve"> </w:t>
      </w:r>
      <w:r w:rsidRPr="00920EA7">
        <w:t>https://kgs.uky.edu/kgsweb/olops/pub/kgs/ic06_12.pdf</w:t>
      </w:r>
    </w:p>
    <w:p w14:paraId="46E50DD1" w14:textId="18B63083" w:rsidR="00920EA7" w:rsidRPr="00CE788C" w:rsidRDefault="006B6E26" w:rsidP="006B6E26">
      <w:pPr>
        <w:spacing w:line="360" w:lineRule="auto"/>
      </w:pPr>
      <w:r>
        <w:t>In</w:t>
      </w:r>
      <w:r w:rsidR="00920EA7">
        <w:t xml:space="preserve">gram, D.L. (2014). </w:t>
      </w:r>
      <w:r w:rsidR="00920EA7" w:rsidRPr="00920EA7">
        <w:t>Understanding Soilless Media Test Results and Their Implications on Nursery and Greenhouse Crop Management</w:t>
      </w:r>
      <w:r w:rsidR="00920EA7">
        <w:t xml:space="preserve">. Cooperative Extension Service. </w:t>
      </w:r>
      <w:r w:rsidR="00920EA7" w:rsidRPr="00BD1E82">
        <w:t>University of Kentucky Martin Gatton College of Agriculture, Food and Environment.</w:t>
      </w:r>
      <w:r w:rsidR="00920EA7" w:rsidRPr="00920EA7">
        <w:t xml:space="preserve"> </w:t>
      </w:r>
      <w:r w:rsidR="00920EA7" w:rsidRPr="00920EA7">
        <w:t>https://publications.mgcafe.uky.edu/sites/publications.ca.uky.edu/files/HO112.pdf</w:t>
      </w:r>
    </w:p>
    <w:p w14:paraId="6D51013E" w14:textId="46BA487C" w:rsidR="000D0B78" w:rsidRPr="00CE788C" w:rsidRDefault="000D0B78" w:rsidP="00CE788C">
      <w:pPr>
        <w:spacing w:line="360" w:lineRule="auto"/>
      </w:pPr>
      <w:r>
        <w:t xml:space="preserve">Lopez, R.G., and Runkle, E.S. </w:t>
      </w:r>
      <w:r w:rsidR="00893B5B">
        <w:t xml:space="preserve">(2021). </w:t>
      </w:r>
      <w:r>
        <w:t xml:space="preserve">Making sense for light sensors. </w:t>
      </w:r>
      <w:r w:rsidR="00B424EA">
        <w:t xml:space="preserve">Greenhouse Product New. </w:t>
      </w:r>
      <w:r w:rsidRPr="000D0B78">
        <w:t>https://www.canr.msu.edu/floriculture/uploads/files/MakingSenseofLightSensors.pdf</w:t>
      </w:r>
    </w:p>
    <w:p w14:paraId="0615CAD1" w14:textId="77777777" w:rsidR="006B6E26" w:rsidRPr="00CE788C" w:rsidRDefault="006B6E26">
      <w:pPr>
        <w:spacing w:line="360" w:lineRule="auto"/>
      </w:pPr>
    </w:p>
    <w:sectPr w:rsidR="006B6E26" w:rsidRPr="00CE7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038F4"/>
    <w:multiLevelType w:val="hybridMultilevel"/>
    <w:tmpl w:val="35789E9A"/>
    <w:lvl w:ilvl="0" w:tplc="7AE894C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55354"/>
    <w:multiLevelType w:val="hybridMultilevel"/>
    <w:tmpl w:val="6C8CD124"/>
    <w:lvl w:ilvl="0" w:tplc="2604B362">
      <w:start w:val="3"/>
      <w:numFmt w:val="bullet"/>
      <w:lvlText w:val="-"/>
      <w:lvlJc w:val="left"/>
      <w:pPr>
        <w:ind w:left="720" w:hanging="360"/>
      </w:pPr>
      <w:rPr>
        <w:rFonts w:ascii="Aptos" w:eastAsia="SimSu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CBA"/>
    <w:multiLevelType w:val="hybridMultilevel"/>
    <w:tmpl w:val="414214D2"/>
    <w:lvl w:ilvl="0" w:tplc="2604B362">
      <w:start w:val="3"/>
      <w:numFmt w:val="bullet"/>
      <w:lvlText w:val="-"/>
      <w:lvlJc w:val="left"/>
      <w:pPr>
        <w:ind w:left="720" w:hanging="360"/>
      </w:pPr>
      <w:rPr>
        <w:rFonts w:ascii="Aptos" w:eastAsia="SimSu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D251A0"/>
    <w:multiLevelType w:val="hybridMultilevel"/>
    <w:tmpl w:val="4942DEF8"/>
    <w:lvl w:ilvl="0" w:tplc="2604B362">
      <w:start w:val="3"/>
      <w:numFmt w:val="bullet"/>
      <w:lvlText w:val="-"/>
      <w:lvlJc w:val="left"/>
      <w:pPr>
        <w:ind w:left="720" w:hanging="360"/>
      </w:pPr>
      <w:rPr>
        <w:rFonts w:ascii="Aptos" w:eastAsia="SimSu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508097">
    <w:abstractNumId w:val="0"/>
  </w:num>
  <w:num w:numId="2" w16cid:durableId="42564733">
    <w:abstractNumId w:val="1"/>
  </w:num>
  <w:num w:numId="3" w16cid:durableId="1277981052">
    <w:abstractNumId w:val="3"/>
  </w:num>
  <w:num w:numId="4" w16cid:durableId="22751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001DE"/>
    <w:rsid w:val="00004654"/>
    <w:rsid w:val="00004EDE"/>
    <w:rsid w:val="000057D9"/>
    <w:rsid w:val="00006440"/>
    <w:rsid w:val="000068A8"/>
    <w:rsid w:val="00007927"/>
    <w:rsid w:val="00010A83"/>
    <w:rsid w:val="0001642A"/>
    <w:rsid w:val="000268DC"/>
    <w:rsid w:val="00030E9E"/>
    <w:rsid w:val="000327B0"/>
    <w:rsid w:val="00033C41"/>
    <w:rsid w:val="0004240A"/>
    <w:rsid w:val="00045DBE"/>
    <w:rsid w:val="00045E31"/>
    <w:rsid w:val="00045FFA"/>
    <w:rsid w:val="000466CD"/>
    <w:rsid w:val="0005097A"/>
    <w:rsid w:val="00052CC8"/>
    <w:rsid w:val="000548F3"/>
    <w:rsid w:val="00054D29"/>
    <w:rsid w:val="00056746"/>
    <w:rsid w:val="00064540"/>
    <w:rsid w:val="00066E39"/>
    <w:rsid w:val="00067BD9"/>
    <w:rsid w:val="00070FDC"/>
    <w:rsid w:val="00074149"/>
    <w:rsid w:val="000761F3"/>
    <w:rsid w:val="000808B1"/>
    <w:rsid w:val="00081722"/>
    <w:rsid w:val="00081D09"/>
    <w:rsid w:val="0008498B"/>
    <w:rsid w:val="0009015B"/>
    <w:rsid w:val="0009265D"/>
    <w:rsid w:val="0009614B"/>
    <w:rsid w:val="000A2025"/>
    <w:rsid w:val="000A54BE"/>
    <w:rsid w:val="000B1BF3"/>
    <w:rsid w:val="000B2CFC"/>
    <w:rsid w:val="000B3710"/>
    <w:rsid w:val="000B37F7"/>
    <w:rsid w:val="000B3EDB"/>
    <w:rsid w:val="000C26EA"/>
    <w:rsid w:val="000C43E7"/>
    <w:rsid w:val="000C46D5"/>
    <w:rsid w:val="000D0B78"/>
    <w:rsid w:val="000D155A"/>
    <w:rsid w:val="000D53B5"/>
    <w:rsid w:val="000D7B3B"/>
    <w:rsid w:val="000E5AE5"/>
    <w:rsid w:val="000F15CF"/>
    <w:rsid w:val="000F1E2E"/>
    <w:rsid w:val="000F5F49"/>
    <w:rsid w:val="00101B54"/>
    <w:rsid w:val="00110CC9"/>
    <w:rsid w:val="00111B83"/>
    <w:rsid w:val="001221C8"/>
    <w:rsid w:val="0012238A"/>
    <w:rsid w:val="00124516"/>
    <w:rsid w:val="00124E51"/>
    <w:rsid w:val="00126AF7"/>
    <w:rsid w:val="00136D0D"/>
    <w:rsid w:val="0014330A"/>
    <w:rsid w:val="00143DFC"/>
    <w:rsid w:val="0014546B"/>
    <w:rsid w:val="001462C4"/>
    <w:rsid w:val="00146D10"/>
    <w:rsid w:val="00147144"/>
    <w:rsid w:val="00151456"/>
    <w:rsid w:val="00152231"/>
    <w:rsid w:val="00152475"/>
    <w:rsid w:val="0015285C"/>
    <w:rsid w:val="00153C36"/>
    <w:rsid w:val="00154482"/>
    <w:rsid w:val="00155486"/>
    <w:rsid w:val="00155D63"/>
    <w:rsid w:val="0015766D"/>
    <w:rsid w:val="00164C1C"/>
    <w:rsid w:val="00165BCE"/>
    <w:rsid w:val="00172EE7"/>
    <w:rsid w:val="00173C2B"/>
    <w:rsid w:val="0017425D"/>
    <w:rsid w:val="00174E38"/>
    <w:rsid w:val="001756D3"/>
    <w:rsid w:val="00175E53"/>
    <w:rsid w:val="00182046"/>
    <w:rsid w:val="00184105"/>
    <w:rsid w:val="00186285"/>
    <w:rsid w:val="00186C20"/>
    <w:rsid w:val="00186EF6"/>
    <w:rsid w:val="00187496"/>
    <w:rsid w:val="00190C77"/>
    <w:rsid w:val="00190D8B"/>
    <w:rsid w:val="00192700"/>
    <w:rsid w:val="001A1A13"/>
    <w:rsid w:val="001A44C7"/>
    <w:rsid w:val="001A5330"/>
    <w:rsid w:val="001A7FDA"/>
    <w:rsid w:val="001B2FE4"/>
    <w:rsid w:val="001C0B48"/>
    <w:rsid w:val="001C60B3"/>
    <w:rsid w:val="001D36F7"/>
    <w:rsid w:val="001E59B2"/>
    <w:rsid w:val="001E5A7C"/>
    <w:rsid w:val="001E5AAF"/>
    <w:rsid w:val="001F0444"/>
    <w:rsid w:val="001F3451"/>
    <w:rsid w:val="001F7FD9"/>
    <w:rsid w:val="00200EBD"/>
    <w:rsid w:val="00203D04"/>
    <w:rsid w:val="0020627B"/>
    <w:rsid w:val="00211A6B"/>
    <w:rsid w:val="00211ABE"/>
    <w:rsid w:val="002128C7"/>
    <w:rsid w:val="00213340"/>
    <w:rsid w:val="0021585A"/>
    <w:rsid w:val="0022425D"/>
    <w:rsid w:val="00224293"/>
    <w:rsid w:val="00224360"/>
    <w:rsid w:val="00226F6E"/>
    <w:rsid w:val="00227C00"/>
    <w:rsid w:val="002404C6"/>
    <w:rsid w:val="00240F3B"/>
    <w:rsid w:val="002461EF"/>
    <w:rsid w:val="00247023"/>
    <w:rsid w:val="002473F7"/>
    <w:rsid w:val="0025045D"/>
    <w:rsid w:val="00252811"/>
    <w:rsid w:val="0025310C"/>
    <w:rsid w:val="00254981"/>
    <w:rsid w:val="002552B5"/>
    <w:rsid w:val="002568BD"/>
    <w:rsid w:val="00264805"/>
    <w:rsid w:val="00264823"/>
    <w:rsid w:val="00271475"/>
    <w:rsid w:val="00273CA5"/>
    <w:rsid w:val="0027689B"/>
    <w:rsid w:val="00277ADF"/>
    <w:rsid w:val="002831AF"/>
    <w:rsid w:val="00286513"/>
    <w:rsid w:val="00286CF6"/>
    <w:rsid w:val="0028724D"/>
    <w:rsid w:val="00287571"/>
    <w:rsid w:val="00287C1C"/>
    <w:rsid w:val="002933CC"/>
    <w:rsid w:val="00293425"/>
    <w:rsid w:val="002A1FD3"/>
    <w:rsid w:val="002A4348"/>
    <w:rsid w:val="002A6C78"/>
    <w:rsid w:val="002C77B0"/>
    <w:rsid w:val="002D7378"/>
    <w:rsid w:val="002D7A06"/>
    <w:rsid w:val="002D7B3F"/>
    <w:rsid w:val="002E5683"/>
    <w:rsid w:val="003022A9"/>
    <w:rsid w:val="0030431A"/>
    <w:rsid w:val="00310650"/>
    <w:rsid w:val="00310E6E"/>
    <w:rsid w:val="00312614"/>
    <w:rsid w:val="0033149A"/>
    <w:rsid w:val="00335FCC"/>
    <w:rsid w:val="0033671D"/>
    <w:rsid w:val="00345857"/>
    <w:rsid w:val="00346375"/>
    <w:rsid w:val="00347BE1"/>
    <w:rsid w:val="00350470"/>
    <w:rsid w:val="00351706"/>
    <w:rsid w:val="003547D2"/>
    <w:rsid w:val="00355347"/>
    <w:rsid w:val="00362995"/>
    <w:rsid w:val="003642AF"/>
    <w:rsid w:val="00373FB5"/>
    <w:rsid w:val="00374714"/>
    <w:rsid w:val="00377BD9"/>
    <w:rsid w:val="003800B6"/>
    <w:rsid w:val="00380823"/>
    <w:rsid w:val="00380EEA"/>
    <w:rsid w:val="00381FC8"/>
    <w:rsid w:val="00382242"/>
    <w:rsid w:val="003952B3"/>
    <w:rsid w:val="003A196B"/>
    <w:rsid w:val="003A5340"/>
    <w:rsid w:val="003B1C60"/>
    <w:rsid w:val="003B3C4A"/>
    <w:rsid w:val="003B59BE"/>
    <w:rsid w:val="003B5BE2"/>
    <w:rsid w:val="003B757E"/>
    <w:rsid w:val="003C06C2"/>
    <w:rsid w:val="003C1571"/>
    <w:rsid w:val="003C3C40"/>
    <w:rsid w:val="003C466C"/>
    <w:rsid w:val="003C592C"/>
    <w:rsid w:val="003C7C81"/>
    <w:rsid w:val="003D036F"/>
    <w:rsid w:val="003D0560"/>
    <w:rsid w:val="003D4E1E"/>
    <w:rsid w:val="003D56D8"/>
    <w:rsid w:val="003D6CF1"/>
    <w:rsid w:val="003D7AEC"/>
    <w:rsid w:val="003E0A4F"/>
    <w:rsid w:val="003E2D26"/>
    <w:rsid w:val="003E50D2"/>
    <w:rsid w:val="003E558B"/>
    <w:rsid w:val="003E74FD"/>
    <w:rsid w:val="003E7FC9"/>
    <w:rsid w:val="003F0A8E"/>
    <w:rsid w:val="003F1CE3"/>
    <w:rsid w:val="003F4A84"/>
    <w:rsid w:val="003F55CB"/>
    <w:rsid w:val="003F5C80"/>
    <w:rsid w:val="004003F2"/>
    <w:rsid w:val="00400E96"/>
    <w:rsid w:val="00403C50"/>
    <w:rsid w:val="00404551"/>
    <w:rsid w:val="00405367"/>
    <w:rsid w:val="00406C19"/>
    <w:rsid w:val="0040735E"/>
    <w:rsid w:val="0041047C"/>
    <w:rsid w:val="004120C9"/>
    <w:rsid w:val="00412FA7"/>
    <w:rsid w:val="004134A6"/>
    <w:rsid w:val="00414F6B"/>
    <w:rsid w:val="004155EC"/>
    <w:rsid w:val="00416B11"/>
    <w:rsid w:val="00417323"/>
    <w:rsid w:val="004178AD"/>
    <w:rsid w:val="00422153"/>
    <w:rsid w:val="00427374"/>
    <w:rsid w:val="00433167"/>
    <w:rsid w:val="00434686"/>
    <w:rsid w:val="00434F26"/>
    <w:rsid w:val="004449C1"/>
    <w:rsid w:val="00445852"/>
    <w:rsid w:val="00446102"/>
    <w:rsid w:val="00452498"/>
    <w:rsid w:val="00454D2A"/>
    <w:rsid w:val="00455271"/>
    <w:rsid w:val="00455DCA"/>
    <w:rsid w:val="00457706"/>
    <w:rsid w:val="00460E7D"/>
    <w:rsid w:val="00460FFC"/>
    <w:rsid w:val="00462398"/>
    <w:rsid w:val="0046608D"/>
    <w:rsid w:val="004804A6"/>
    <w:rsid w:val="00482FB7"/>
    <w:rsid w:val="00485156"/>
    <w:rsid w:val="004908AA"/>
    <w:rsid w:val="00490BA5"/>
    <w:rsid w:val="00492F81"/>
    <w:rsid w:val="004934ED"/>
    <w:rsid w:val="004961C2"/>
    <w:rsid w:val="004976F9"/>
    <w:rsid w:val="004A0578"/>
    <w:rsid w:val="004A0669"/>
    <w:rsid w:val="004A1D94"/>
    <w:rsid w:val="004A298E"/>
    <w:rsid w:val="004A55B1"/>
    <w:rsid w:val="004B01D5"/>
    <w:rsid w:val="004B0F46"/>
    <w:rsid w:val="004B439F"/>
    <w:rsid w:val="004B670A"/>
    <w:rsid w:val="004C0B62"/>
    <w:rsid w:val="004C21B9"/>
    <w:rsid w:val="004C292B"/>
    <w:rsid w:val="004C55A3"/>
    <w:rsid w:val="004E40A2"/>
    <w:rsid w:val="004E4455"/>
    <w:rsid w:val="004E460B"/>
    <w:rsid w:val="004E6CBA"/>
    <w:rsid w:val="004E7C26"/>
    <w:rsid w:val="004F3DF8"/>
    <w:rsid w:val="00501423"/>
    <w:rsid w:val="0050339D"/>
    <w:rsid w:val="00503A5E"/>
    <w:rsid w:val="005106FA"/>
    <w:rsid w:val="00514B10"/>
    <w:rsid w:val="005152EB"/>
    <w:rsid w:val="00520511"/>
    <w:rsid w:val="00521D5A"/>
    <w:rsid w:val="005232C5"/>
    <w:rsid w:val="0052773F"/>
    <w:rsid w:val="005405E7"/>
    <w:rsid w:val="00546D8A"/>
    <w:rsid w:val="00552C16"/>
    <w:rsid w:val="0055482B"/>
    <w:rsid w:val="00554EEC"/>
    <w:rsid w:val="00555EA4"/>
    <w:rsid w:val="0055712B"/>
    <w:rsid w:val="0055796C"/>
    <w:rsid w:val="0056406C"/>
    <w:rsid w:val="00564C52"/>
    <w:rsid w:val="0056731C"/>
    <w:rsid w:val="00575104"/>
    <w:rsid w:val="005757A1"/>
    <w:rsid w:val="005760A0"/>
    <w:rsid w:val="0058138B"/>
    <w:rsid w:val="0058139F"/>
    <w:rsid w:val="005820AF"/>
    <w:rsid w:val="00583309"/>
    <w:rsid w:val="00584C06"/>
    <w:rsid w:val="0058653A"/>
    <w:rsid w:val="00587FC1"/>
    <w:rsid w:val="00596D19"/>
    <w:rsid w:val="0059776A"/>
    <w:rsid w:val="005A167F"/>
    <w:rsid w:val="005A222B"/>
    <w:rsid w:val="005A2DC0"/>
    <w:rsid w:val="005A3E99"/>
    <w:rsid w:val="005A46E0"/>
    <w:rsid w:val="005A4CE4"/>
    <w:rsid w:val="005A7BD2"/>
    <w:rsid w:val="005B2383"/>
    <w:rsid w:val="005B42CD"/>
    <w:rsid w:val="005B5350"/>
    <w:rsid w:val="005B54A5"/>
    <w:rsid w:val="005B70E4"/>
    <w:rsid w:val="005C15E0"/>
    <w:rsid w:val="005C22A9"/>
    <w:rsid w:val="005C276C"/>
    <w:rsid w:val="005C451E"/>
    <w:rsid w:val="005C5744"/>
    <w:rsid w:val="005C6007"/>
    <w:rsid w:val="005C67CA"/>
    <w:rsid w:val="005D049E"/>
    <w:rsid w:val="005D0500"/>
    <w:rsid w:val="005D2CB5"/>
    <w:rsid w:val="005D35B6"/>
    <w:rsid w:val="005D792A"/>
    <w:rsid w:val="005E1C44"/>
    <w:rsid w:val="005E1DBD"/>
    <w:rsid w:val="005E3892"/>
    <w:rsid w:val="005E3D4C"/>
    <w:rsid w:val="005E6C45"/>
    <w:rsid w:val="005E6EDA"/>
    <w:rsid w:val="005F57AF"/>
    <w:rsid w:val="00602697"/>
    <w:rsid w:val="00604426"/>
    <w:rsid w:val="0060664F"/>
    <w:rsid w:val="00606B6F"/>
    <w:rsid w:val="0060756E"/>
    <w:rsid w:val="00613D03"/>
    <w:rsid w:val="006166CA"/>
    <w:rsid w:val="00617506"/>
    <w:rsid w:val="00617E04"/>
    <w:rsid w:val="00623A35"/>
    <w:rsid w:val="00627F8C"/>
    <w:rsid w:val="006303AB"/>
    <w:rsid w:val="00630D72"/>
    <w:rsid w:val="00632CCA"/>
    <w:rsid w:val="00642B10"/>
    <w:rsid w:val="006437B6"/>
    <w:rsid w:val="00646826"/>
    <w:rsid w:val="00647C82"/>
    <w:rsid w:val="00653451"/>
    <w:rsid w:val="00655940"/>
    <w:rsid w:val="00657251"/>
    <w:rsid w:val="006648D9"/>
    <w:rsid w:val="00673CDB"/>
    <w:rsid w:val="00677649"/>
    <w:rsid w:val="00677EA8"/>
    <w:rsid w:val="006815DD"/>
    <w:rsid w:val="00684AEB"/>
    <w:rsid w:val="00686658"/>
    <w:rsid w:val="006868BC"/>
    <w:rsid w:val="0068751D"/>
    <w:rsid w:val="00693BAA"/>
    <w:rsid w:val="00695D86"/>
    <w:rsid w:val="00696D29"/>
    <w:rsid w:val="006A2CCD"/>
    <w:rsid w:val="006A3C75"/>
    <w:rsid w:val="006A5C91"/>
    <w:rsid w:val="006A67E6"/>
    <w:rsid w:val="006B25BB"/>
    <w:rsid w:val="006B2F86"/>
    <w:rsid w:val="006B3C89"/>
    <w:rsid w:val="006B52AE"/>
    <w:rsid w:val="006B6E26"/>
    <w:rsid w:val="006C119F"/>
    <w:rsid w:val="006C24A0"/>
    <w:rsid w:val="006C258E"/>
    <w:rsid w:val="006D0635"/>
    <w:rsid w:val="006D4423"/>
    <w:rsid w:val="006D6A78"/>
    <w:rsid w:val="006E1CF5"/>
    <w:rsid w:val="006E436F"/>
    <w:rsid w:val="006E68DE"/>
    <w:rsid w:val="006F1C63"/>
    <w:rsid w:val="006F57E2"/>
    <w:rsid w:val="007001DE"/>
    <w:rsid w:val="007033C4"/>
    <w:rsid w:val="007050C8"/>
    <w:rsid w:val="007115B0"/>
    <w:rsid w:val="00715CC1"/>
    <w:rsid w:val="00723A37"/>
    <w:rsid w:val="00727A70"/>
    <w:rsid w:val="007318D5"/>
    <w:rsid w:val="0073385C"/>
    <w:rsid w:val="00734FE5"/>
    <w:rsid w:val="0074293E"/>
    <w:rsid w:val="00743421"/>
    <w:rsid w:val="007447B1"/>
    <w:rsid w:val="00751DA0"/>
    <w:rsid w:val="00751E9B"/>
    <w:rsid w:val="00752E25"/>
    <w:rsid w:val="00757704"/>
    <w:rsid w:val="00761247"/>
    <w:rsid w:val="007740C7"/>
    <w:rsid w:val="007776A4"/>
    <w:rsid w:val="00782F5B"/>
    <w:rsid w:val="00784B28"/>
    <w:rsid w:val="00793939"/>
    <w:rsid w:val="007A0630"/>
    <w:rsid w:val="007A1AFA"/>
    <w:rsid w:val="007A251A"/>
    <w:rsid w:val="007B254F"/>
    <w:rsid w:val="007B3A4C"/>
    <w:rsid w:val="007B5ED0"/>
    <w:rsid w:val="007B7DD4"/>
    <w:rsid w:val="007C0232"/>
    <w:rsid w:val="007C0B65"/>
    <w:rsid w:val="007C58C8"/>
    <w:rsid w:val="007D4580"/>
    <w:rsid w:val="007D5645"/>
    <w:rsid w:val="007D6EFE"/>
    <w:rsid w:val="007E5323"/>
    <w:rsid w:val="007F0CCE"/>
    <w:rsid w:val="007F15E1"/>
    <w:rsid w:val="007F2116"/>
    <w:rsid w:val="007F2B71"/>
    <w:rsid w:val="007F2D2A"/>
    <w:rsid w:val="007F4931"/>
    <w:rsid w:val="007F4A6E"/>
    <w:rsid w:val="007F6555"/>
    <w:rsid w:val="007F6739"/>
    <w:rsid w:val="007F7772"/>
    <w:rsid w:val="008023D3"/>
    <w:rsid w:val="008039A8"/>
    <w:rsid w:val="00803C2C"/>
    <w:rsid w:val="00805A0A"/>
    <w:rsid w:val="00806677"/>
    <w:rsid w:val="00814EAA"/>
    <w:rsid w:val="00824A07"/>
    <w:rsid w:val="008258E1"/>
    <w:rsid w:val="0083520F"/>
    <w:rsid w:val="008363D5"/>
    <w:rsid w:val="00841FE3"/>
    <w:rsid w:val="00844CD3"/>
    <w:rsid w:val="00845256"/>
    <w:rsid w:val="008475AA"/>
    <w:rsid w:val="00854B24"/>
    <w:rsid w:val="00857D4C"/>
    <w:rsid w:val="00862C35"/>
    <w:rsid w:val="00865D44"/>
    <w:rsid w:val="008660B4"/>
    <w:rsid w:val="00876E2F"/>
    <w:rsid w:val="00884143"/>
    <w:rsid w:val="008842C0"/>
    <w:rsid w:val="0088456E"/>
    <w:rsid w:val="00886888"/>
    <w:rsid w:val="008875A0"/>
    <w:rsid w:val="008907F9"/>
    <w:rsid w:val="00890816"/>
    <w:rsid w:val="00893B5B"/>
    <w:rsid w:val="00897875"/>
    <w:rsid w:val="008A16C8"/>
    <w:rsid w:val="008A5AF5"/>
    <w:rsid w:val="008A702F"/>
    <w:rsid w:val="008A7F08"/>
    <w:rsid w:val="008B2CCC"/>
    <w:rsid w:val="008C0755"/>
    <w:rsid w:val="008C1215"/>
    <w:rsid w:val="008C2EEF"/>
    <w:rsid w:val="008C4310"/>
    <w:rsid w:val="008C4C45"/>
    <w:rsid w:val="008D07CB"/>
    <w:rsid w:val="008D16F8"/>
    <w:rsid w:val="008D1756"/>
    <w:rsid w:val="008D5193"/>
    <w:rsid w:val="008E53AE"/>
    <w:rsid w:val="008F0C7A"/>
    <w:rsid w:val="008F7438"/>
    <w:rsid w:val="009073B8"/>
    <w:rsid w:val="00910A0C"/>
    <w:rsid w:val="00917B67"/>
    <w:rsid w:val="009206BB"/>
    <w:rsid w:val="00920EA7"/>
    <w:rsid w:val="009224D3"/>
    <w:rsid w:val="009238B0"/>
    <w:rsid w:val="00923EC0"/>
    <w:rsid w:val="00925A01"/>
    <w:rsid w:val="0092750B"/>
    <w:rsid w:val="00927BED"/>
    <w:rsid w:val="00927CE1"/>
    <w:rsid w:val="00931FC6"/>
    <w:rsid w:val="00943150"/>
    <w:rsid w:val="009527D6"/>
    <w:rsid w:val="00955951"/>
    <w:rsid w:val="00956D36"/>
    <w:rsid w:val="00957772"/>
    <w:rsid w:val="0096168F"/>
    <w:rsid w:val="00964A39"/>
    <w:rsid w:val="0097003D"/>
    <w:rsid w:val="009737B9"/>
    <w:rsid w:val="009744B0"/>
    <w:rsid w:val="00974867"/>
    <w:rsid w:val="00977443"/>
    <w:rsid w:val="00980552"/>
    <w:rsid w:val="00983C09"/>
    <w:rsid w:val="00985824"/>
    <w:rsid w:val="0099189B"/>
    <w:rsid w:val="00993900"/>
    <w:rsid w:val="00997B14"/>
    <w:rsid w:val="009A2256"/>
    <w:rsid w:val="009A38A8"/>
    <w:rsid w:val="009A638E"/>
    <w:rsid w:val="009B1655"/>
    <w:rsid w:val="009B28B4"/>
    <w:rsid w:val="009B6524"/>
    <w:rsid w:val="009C09AB"/>
    <w:rsid w:val="009C130E"/>
    <w:rsid w:val="009C4AF6"/>
    <w:rsid w:val="009C6454"/>
    <w:rsid w:val="009C7ED9"/>
    <w:rsid w:val="009D3801"/>
    <w:rsid w:val="009D564A"/>
    <w:rsid w:val="009E0DFB"/>
    <w:rsid w:val="009E2333"/>
    <w:rsid w:val="009E4307"/>
    <w:rsid w:val="009F3AC5"/>
    <w:rsid w:val="009F3DB5"/>
    <w:rsid w:val="00A00E40"/>
    <w:rsid w:val="00A0478D"/>
    <w:rsid w:val="00A07D25"/>
    <w:rsid w:val="00A128D8"/>
    <w:rsid w:val="00A12A64"/>
    <w:rsid w:val="00A14E59"/>
    <w:rsid w:val="00A1588B"/>
    <w:rsid w:val="00A17C20"/>
    <w:rsid w:val="00A21AC8"/>
    <w:rsid w:val="00A24FA0"/>
    <w:rsid w:val="00A271F3"/>
    <w:rsid w:val="00A27501"/>
    <w:rsid w:val="00A30350"/>
    <w:rsid w:val="00A31DA1"/>
    <w:rsid w:val="00A34DC8"/>
    <w:rsid w:val="00A44A40"/>
    <w:rsid w:val="00A458DA"/>
    <w:rsid w:val="00A50455"/>
    <w:rsid w:val="00A50967"/>
    <w:rsid w:val="00A55A8C"/>
    <w:rsid w:val="00A6098F"/>
    <w:rsid w:val="00A60C06"/>
    <w:rsid w:val="00A63D18"/>
    <w:rsid w:val="00A722FC"/>
    <w:rsid w:val="00A76F0D"/>
    <w:rsid w:val="00A83799"/>
    <w:rsid w:val="00A83CB2"/>
    <w:rsid w:val="00A84223"/>
    <w:rsid w:val="00A8441A"/>
    <w:rsid w:val="00A84A49"/>
    <w:rsid w:val="00A91116"/>
    <w:rsid w:val="00A92D41"/>
    <w:rsid w:val="00AA248C"/>
    <w:rsid w:val="00AA2EA4"/>
    <w:rsid w:val="00AA7396"/>
    <w:rsid w:val="00AA7CFE"/>
    <w:rsid w:val="00AB4AB7"/>
    <w:rsid w:val="00AB5A85"/>
    <w:rsid w:val="00AC2DB4"/>
    <w:rsid w:val="00AC2E38"/>
    <w:rsid w:val="00AC4283"/>
    <w:rsid w:val="00AC46C8"/>
    <w:rsid w:val="00AC5618"/>
    <w:rsid w:val="00AC59C5"/>
    <w:rsid w:val="00AD16AF"/>
    <w:rsid w:val="00AD4523"/>
    <w:rsid w:val="00AD5B24"/>
    <w:rsid w:val="00AD676D"/>
    <w:rsid w:val="00AD7473"/>
    <w:rsid w:val="00AD790C"/>
    <w:rsid w:val="00AD7CD3"/>
    <w:rsid w:val="00AE7C7A"/>
    <w:rsid w:val="00AF1129"/>
    <w:rsid w:val="00AF2B11"/>
    <w:rsid w:val="00AF54F8"/>
    <w:rsid w:val="00B006CD"/>
    <w:rsid w:val="00B02425"/>
    <w:rsid w:val="00B21642"/>
    <w:rsid w:val="00B21F39"/>
    <w:rsid w:val="00B223E5"/>
    <w:rsid w:val="00B25D32"/>
    <w:rsid w:val="00B30BA0"/>
    <w:rsid w:val="00B317CE"/>
    <w:rsid w:val="00B361CD"/>
    <w:rsid w:val="00B424EA"/>
    <w:rsid w:val="00B432FD"/>
    <w:rsid w:val="00B44828"/>
    <w:rsid w:val="00B51143"/>
    <w:rsid w:val="00B63D17"/>
    <w:rsid w:val="00B750E4"/>
    <w:rsid w:val="00B75311"/>
    <w:rsid w:val="00B756D7"/>
    <w:rsid w:val="00B80D36"/>
    <w:rsid w:val="00B8128B"/>
    <w:rsid w:val="00B81F30"/>
    <w:rsid w:val="00B87D8E"/>
    <w:rsid w:val="00B90ED1"/>
    <w:rsid w:val="00B91150"/>
    <w:rsid w:val="00B93221"/>
    <w:rsid w:val="00BA1C9A"/>
    <w:rsid w:val="00BB0B6D"/>
    <w:rsid w:val="00BB0FAD"/>
    <w:rsid w:val="00BB1CD8"/>
    <w:rsid w:val="00BB52AE"/>
    <w:rsid w:val="00BC5030"/>
    <w:rsid w:val="00BC5A3A"/>
    <w:rsid w:val="00BD139B"/>
    <w:rsid w:val="00BD1E82"/>
    <w:rsid w:val="00BD279B"/>
    <w:rsid w:val="00BD4322"/>
    <w:rsid w:val="00BD4686"/>
    <w:rsid w:val="00BE1BB8"/>
    <w:rsid w:val="00BE778B"/>
    <w:rsid w:val="00BF4493"/>
    <w:rsid w:val="00BF55E1"/>
    <w:rsid w:val="00C011D6"/>
    <w:rsid w:val="00C1005E"/>
    <w:rsid w:val="00C10C5D"/>
    <w:rsid w:val="00C1137D"/>
    <w:rsid w:val="00C11AC7"/>
    <w:rsid w:val="00C16AB4"/>
    <w:rsid w:val="00C1732A"/>
    <w:rsid w:val="00C21072"/>
    <w:rsid w:val="00C21CC9"/>
    <w:rsid w:val="00C24226"/>
    <w:rsid w:val="00C27484"/>
    <w:rsid w:val="00C27808"/>
    <w:rsid w:val="00C33DF2"/>
    <w:rsid w:val="00C34D76"/>
    <w:rsid w:val="00C42517"/>
    <w:rsid w:val="00C44B52"/>
    <w:rsid w:val="00C5140D"/>
    <w:rsid w:val="00C5178A"/>
    <w:rsid w:val="00C52695"/>
    <w:rsid w:val="00C56137"/>
    <w:rsid w:val="00C5625B"/>
    <w:rsid w:val="00C56550"/>
    <w:rsid w:val="00C56938"/>
    <w:rsid w:val="00C56EF9"/>
    <w:rsid w:val="00C6108F"/>
    <w:rsid w:val="00C617BD"/>
    <w:rsid w:val="00C64503"/>
    <w:rsid w:val="00C649A0"/>
    <w:rsid w:val="00C65FBF"/>
    <w:rsid w:val="00C71071"/>
    <w:rsid w:val="00C74CEB"/>
    <w:rsid w:val="00C77155"/>
    <w:rsid w:val="00C819F0"/>
    <w:rsid w:val="00C828AB"/>
    <w:rsid w:val="00C82EE6"/>
    <w:rsid w:val="00C87986"/>
    <w:rsid w:val="00C97D2C"/>
    <w:rsid w:val="00CA1C92"/>
    <w:rsid w:val="00CA1CD6"/>
    <w:rsid w:val="00CA5A1B"/>
    <w:rsid w:val="00CA6573"/>
    <w:rsid w:val="00CB3928"/>
    <w:rsid w:val="00CB5172"/>
    <w:rsid w:val="00CB54BD"/>
    <w:rsid w:val="00CB5531"/>
    <w:rsid w:val="00CC276B"/>
    <w:rsid w:val="00CC66E7"/>
    <w:rsid w:val="00CD0764"/>
    <w:rsid w:val="00CD1637"/>
    <w:rsid w:val="00CD1CC7"/>
    <w:rsid w:val="00CD4F1A"/>
    <w:rsid w:val="00CD685A"/>
    <w:rsid w:val="00CD76DD"/>
    <w:rsid w:val="00CE0F0B"/>
    <w:rsid w:val="00CE1CCA"/>
    <w:rsid w:val="00CE7729"/>
    <w:rsid w:val="00CE788C"/>
    <w:rsid w:val="00CF0114"/>
    <w:rsid w:val="00CF0A13"/>
    <w:rsid w:val="00CF266E"/>
    <w:rsid w:val="00D01882"/>
    <w:rsid w:val="00D029D5"/>
    <w:rsid w:val="00D04BFF"/>
    <w:rsid w:val="00D129EC"/>
    <w:rsid w:val="00D16D1E"/>
    <w:rsid w:val="00D21FFD"/>
    <w:rsid w:val="00D32DC6"/>
    <w:rsid w:val="00D335C4"/>
    <w:rsid w:val="00D353E7"/>
    <w:rsid w:val="00D35FA4"/>
    <w:rsid w:val="00D5011B"/>
    <w:rsid w:val="00D542C2"/>
    <w:rsid w:val="00D55630"/>
    <w:rsid w:val="00D56406"/>
    <w:rsid w:val="00D5703E"/>
    <w:rsid w:val="00D60D00"/>
    <w:rsid w:val="00D62942"/>
    <w:rsid w:val="00D63C05"/>
    <w:rsid w:val="00D70973"/>
    <w:rsid w:val="00D71285"/>
    <w:rsid w:val="00D751F5"/>
    <w:rsid w:val="00D755C2"/>
    <w:rsid w:val="00D76796"/>
    <w:rsid w:val="00D8036A"/>
    <w:rsid w:val="00D80C13"/>
    <w:rsid w:val="00D80E8C"/>
    <w:rsid w:val="00D821EC"/>
    <w:rsid w:val="00D838A3"/>
    <w:rsid w:val="00D8502C"/>
    <w:rsid w:val="00D850C5"/>
    <w:rsid w:val="00D91880"/>
    <w:rsid w:val="00D938F0"/>
    <w:rsid w:val="00D94F0F"/>
    <w:rsid w:val="00D96444"/>
    <w:rsid w:val="00D97710"/>
    <w:rsid w:val="00DA476B"/>
    <w:rsid w:val="00DA77DC"/>
    <w:rsid w:val="00DB00C0"/>
    <w:rsid w:val="00DB7BB7"/>
    <w:rsid w:val="00DC021E"/>
    <w:rsid w:val="00DC0C72"/>
    <w:rsid w:val="00DC5B62"/>
    <w:rsid w:val="00DD15BA"/>
    <w:rsid w:val="00DD24F1"/>
    <w:rsid w:val="00DD5979"/>
    <w:rsid w:val="00DD5CEB"/>
    <w:rsid w:val="00DD6B73"/>
    <w:rsid w:val="00DD7357"/>
    <w:rsid w:val="00DD7A72"/>
    <w:rsid w:val="00DE1449"/>
    <w:rsid w:val="00DE3CE3"/>
    <w:rsid w:val="00DE66A7"/>
    <w:rsid w:val="00DE6BA2"/>
    <w:rsid w:val="00DE71E7"/>
    <w:rsid w:val="00DF1598"/>
    <w:rsid w:val="00DF4C4E"/>
    <w:rsid w:val="00DF7B83"/>
    <w:rsid w:val="00E0072E"/>
    <w:rsid w:val="00E00786"/>
    <w:rsid w:val="00E0189F"/>
    <w:rsid w:val="00E038EA"/>
    <w:rsid w:val="00E04863"/>
    <w:rsid w:val="00E05398"/>
    <w:rsid w:val="00E0744E"/>
    <w:rsid w:val="00E10A8B"/>
    <w:rsid w:val="00E14F70"/>
    <w:rsid w:val="00E157A7"/>
    <w:rsid w:val="00E20300"/>
    <w:rsid w:val="00E23427"/>
    <w:rsid w:val="00E2446B"/>
    <w:rsid w:val="00E3235F"/>
    <w:rsid w:val="00E32FDF"/>
    <w:rsid w:val="00E3340F"/>
    <w:rsid w:val="00E3655D"/>
    <w:rsid w:val="00E44D07"/>
    <w:rsid w:val="00E465F1"/>
    <w:rsid w:val="00E46CC0"/>
    <w:rsid w:val="00E47812"/>
    <w:rsid w:val="00E47BBA"/>
    <w:rsid w:val="00E50C8D"/>
    <w:rsid w:val="00E50C9E"/>
    <w:rsid w:val="00E51BA2"/>
    <w:rsid w:val="00E53404"/>
    <w:rsid w:val="00E547E2"/>
    <w:rsid w:val="00E55EBD"/>
    <w:rsid w:val="00E56A03"/>
    <w:rsid w:val="00E62E80"/>
    <w:rsid w:val="00E62EA5"/>
    <w:rsid w:val="00E71EC0"/>
    <w:rsid w:val="00E810FC"/>
    <w:rsid w:val="00E84E83"/>
    <w:rsid w:val="00E92141"/>
    <w:rsid w:val="00E95F9C"/>
    <w:rsid w:val="00E96C51"/>
    <w:rsid w:val="00EA08B2"/>
    <w:rsid w:val="00EA627C"/>
    <w:rsid w:val="00EB1566"/>
    <w:rsid w:val="00EB3480"/>
    <w:rsid w:val="00EB5DAA"/>
    <w:rsid w:val="00EC1F34"/>
    <w:rsid w:val="00EC249D"/>
    <w:rsid w:val="00EC3156"/>
    <w:rsid w:val="00EC373D"/>
    <w:rsid w:val="00EC4270"/>
    <w:rsid w:val="00EC44A5"/>
    <w:rsid w:val="00EC58CD"/>
    <w:rsid w:val="00ED51D5"/>
    <w:rsid w:val="00ED69BC"/>
    <w:rsid w:val="00ED7BCF"/>
    <w:rsid w:val="00EE5C5F"/>
    <w:rsid w:val="00EE60DC"/>
    <w:rsid w:val="00EE74BE"/>
    <w:rsid w:val="00EE785C"/>
    <w:rsid w:val="00EE7B7F"/>
    <w:rsid w:val="00EF28F1"/>
    <w:rsid w:val="00EF30D2"/>
    <w:rsid w:val="00EF33AC"/>
    <w:rsid w:val="00EF3F58"/>
    <w:rsid w:val="00F0055A"/>
    <w:rsid w:val="00F01B37"/>
    <w:rsid w:val="00F054B3"/>
    <w:rsid w:val="00F05757"/>
    <w:rsid w:val="00F06944"/>
    <w:rsid w:val="00F07DDF"/>
    <w:rsid w:val="00F10201"/>
    <w:rsid w:val="00F11E84"/>
    <w:rsid w:val="00F1395E"/>
    <w:rsid w:val="00F14730"/>
    <w:rsid w:val="00F16CB4"/>
    <w:rsid w:val="00F17021"/>
    <w:rsid w:val="00F178F7"/>
    <w:rsid w:val="00F20701"/>
    <w:rsid w:val="00F2764E"/>
    <w:rsid w:val="00F31F61"/>
    <w:rsid w:val="00F33609"/>
    <w:rsid w:val="00F34393"/>
    <w:rsid w:val="00F35664"/>
    <w:rsid w:val="00F42F49"/>
    <w:rsid w:val="00F460DE"/>
    <w:rsid w:val="00F51049"/>
    <w:rsid w:val="00F53AE6"/>
    <w:rsid w:val="00F54C35"/>
    <w:rsid w:val="00F554E4"/>
    <w:rsid w:val="00F57928"/>
    <w:rsid w:val="00F57CC0"/>
    <w:rsid w:val="00F62B99"/>
    <w:rsid w:val="00F6363B"/>
    <w:rsid w:val="00F7229E"/>
    <w:rsid w:val="00F75736"/>
    <w:rsid w:val="00F801B8"/>
    <w:rsid w:val="00F808C7"/>
    <w:rsid w:val="00F82774"/>
    <w:rsid w:val="00F94D65"/>
    <w:rsid w:val="00F94E95"/>
    <w:rsid w:val="00FA099D"/>
    <w:rsid w:val="00FA2899"/>
    <w:rsid w:val="00FA4B70"/>
    <w:rsid w:val="00FB3A29"/>
    <w:rsid w:val="00FB7024"/>
    <w:rsid w:val="00FC2046"/>
    <w:rsid w:val="00FC7E71"/>
    <w:rsid w:val="00FD010E"/>
    <w:rsid w:val="00FD14DA"/>
    <w:rsid w:val="00FD36C5"/>
    <w:rsid w:val="00FD4D54"/>
    <w:rsid w:val="00FD6ED7"/>
    <w:rsid w:val="00FE1240"/>
    <w:rsid w:val="00FE53B5"/>
    <w:rsid w:val="00FE737A"/>
    <w:rsid w:val="00FF12A0"/>
    <w:rsid w:val="00FF2640"/>
    <w:rsid w:val="00FF4AEE"/>
    <w:rsid w:val="00FF5463"/>
    <w:rsid w:val="00FF5816"/>
    <w:rsid w:val="017EE16E"/>
    <w:rsid w:val="03CA310D"/>
    <w:rsid w:val="072C8C61"/>
    <w:rsid w:val="07B3DC3D"/>
    <w:rsid w:val="09A63711"/>
    <w:rsid w:val="0CB0C027"/>
    <w:rsid w:val="121CA927"/>
    <w:rsid w:val="133B41E1"/>
    <w:rsid w:val="1B142418"/>
    <w:rsid w:val="1DC121EB"/>
    <w:rsid w:val="1EB9C643"/>
    <w:rsid w:val="29F564CF"/>
    <w:rsid w:val="2D59621A"/>
    <w:rsid w:val="2FC3F720"/>
    <w:rsid w:val="3128673F"/>
    <w:rsid w:val="3724AAED"/>
    <w:rsid w:val="37B3D86E"/>
    <w:rsid w:val="3EC5716A"/>
    <w:rsid w:val="41F3BBA0"/>
    <w:rsid w:val="4760C9DA"/>
    <w:rsid w:val="485FD3E7"/>
    <w:rsid w:val="4CC0BA39"/>
    <w:rsid w:val="4ECAB223"/>
    <w:rsid w:val="52700B27"/>
    <w:rsid w:val="542CBBC6"/>
    <w:rsid w:val="5474F7B3"/>
    <w:rsid w:val="59038D17"/>
    <w:rsid w:val="5C768A33"/>
    <w:rsid w:val="60D7AD63"/>
    <w:rsid w:val="6872D575"/>
    <w:rsid w:val="702A8987"/>
    <w:rsid w:val="704ED927"/>
    <w:rsid w:val="720EBB5B"/>
    <w:rsid w:val="780210B4"/>
    <w:rsid w:val="7818B652"/>
    <w:rsid w:val="7D828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847AA9F"/>
  <w15:chartTrackingRefBased/>
  <w15:docId w15:val="{A2C5DF13-7A3B-4FE0-AC74-250C4D81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1DE"/>
    <w:rPr>
      <w:rFonts w:eastAsiaTheme="majorEastAsia" w:cstheme="majorBidi"/>
      <w:color w:val="272727" w:themeColor="text1" w:themeTint="D8"/>
    </w:rPr>
  </w:style>
  <w:style w:type="paragraph" w:styleId="Title">
    <w:name w:val="Title"/>
    <w:basedOn w:val="Normal"/>
    <w:next w:val="Normal"/>
    <w:link w:val="TitleChar"/>
    <w:uiPriority w:val="10"/>
    <w:qFormat/>
    <w:rsid w:val="0070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1DE"/>
    <w:pPr>
      <w:spacing w:before="160"/>
      <w:jc w:val="center"/>
    </w:pPr>
    <w:rPr>
      <w:i/>
      <w:iCs/>
      <w:color w:val="404040" w:themeColor="text1" w:themeTint="BF"/>
    </w:rPr>
  </w:style>
  <w:style w:type="character" w:customStyle="1" w:styleId="QuoteChar">
    <w:name w:val="Quote Char"/>
    <w:basedOn w:val="DefaultParagraphFont"/>
    <w:link w:val="Quote"/>
    <w:uiPriority w:val="29"/>
    <w:rsid w:val="007001DE"/>
    <w:rPr>
      <w:i/>
      <w:iCs/>
      <w:color w:val="404040" w:themeColor="text1" w:themeTint="BF"/>
    </w:rPr>
  </w:style>
  <w:style w:type="paragraph" w:styleId="ListParagraph">
    <w:name w:val="List Paragraph"/>
    <w:basedOn w:val="Normal"/>
    <w:uiPriority w:val="34"/>
    <w:qFormat/>
    <w:rsid w:val="007001DE"/>
    <w:pPr>
      <w:ind w:left="720"/>
      <w:contextualSpacing/>
    </w:pPr>
  </w:style>
  <w:style w:type="character" w:styleId="IntenseEmphasis">
    <w:name w:val="Intense Emphasis"/>
    <w:basedOn w:val="DefaultParagraphFont"/>
    <w:uiPriority w:val="21"/>
    <w:qFormat/>
    <w:rsid w:val="007001DE"/>
    <w:rPr>
      <w:i/>
      <w:iCs/>
      <w:color w:val="0F4761" w:themeColor="accent1" w:themeShade="BF"/>
    </w:rPr>
  </w:style>
  <w:style w:type="paragraph" w:styleId="IntenseQuote">
    <w:name w:val="Intense Quote"/>
    <w:basedOn w:val="Normal"/>
    <w:next w:val="Normal"/>
    <w:link w:val="IntenseQuoteChar"/>
    <w:uiPriority w:val="30"/>
    <w:qFormat/>
    <w:rsid w:val="00700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1DE"/>
    <w:rPr>
      <w:i/>
      <w:iCs/>
      <w:color w:val="0F4761" w:themeColor="accent1" w:themeShade="BF"/>
    </w:rPr>
  </w:style>
  <w:style w:type="character" w:styleId="IntenseReference">
    <w:name w:val="Intense Reference"/>
    <w:basedOn w:val="DefaultParagraphFont"/>
    <w:uiPriority w:val="32"/>
    <w:qFormat/>
    <w:rsid w:val="007001DE"/>
    <w:rPr>
      <w:b/>
      <w:bCs/>
      <w:smallCaps/>
      <w:color w:val="0F4761" w:themeColor="accent1" w:themeShade="BF"/>
      <w:spacing w:val="5"/>
    </w:rPr>
  </w:style>
  <w:style w:type="paragraph" w:styleId="Revision">
    <w:name w:val="Revision"/>
    <w:hidden/>
    <w:uiPriority w:val="99"/>
    <w:semiHidden/>
    <w:rsid w:val="00C33DF2"/>
    <w:pPr>
      <w:spacing w:after="0" w:line="240" w:lineRule="auto"/>
    </w:pPr>
  </w:style>
  <w:style w:type="character" w:styleId="CommentReference">
    <w:name w:val="annotation reference"/>
    <w:basedOn w:val="DefaultParagraphFont"/>
    <w:uiPriority w:val="99"/>
    <w:semiHidden/>
    <w:unhideWhenUsed/>
    <w:rsid w:val="00AD676D"/>
    <w:rPr>
      <w:sz w:val="16"/>
      <w:szCs w:val="16"/>
    </w:rPr>
  </w:style>
  <w:style w:type="paragraph" w:styleId="CommentText">
    <w:name w:val="annotation text"/>
    <w:basedOn w:val="Normal"/>
    <w:link w:val="CommentTextChar"/>
    <w:uiPriority w:val="99"/>
    <w:unhideWhenUsed/>
    <w:rsid w:val="00AD676D"/>
    <w:pPr>
      <w:spacing w:line="240" w:lineRule="auto"/>
    </w:pPr>
    <w:rPr>
      <w:sz w:val="20"/>
      <w:szCs w:val="20"/>
    </w:rPr>
  </w:style>
  <w:style w:type="character" w:customStyle="1" w:styleId="CommentTextChar">
    <w:name w:val="Comment Text Char"/>
    <w:basedOn w:val="DefaultParagraphFont"/>
    <w:link w:val="CommentText"/>
    <w:uiPriority w:val="99"/>
    <w:rsid w:val="00AD676D"/>
    <w:rPr>
      <w:sz w:val="20"/>
      <w:szCs w:val="20"/>
    </w:rPr>
  </w:style>
  <w:style w:type="paragraph" w:styleId="CommentSubject">
    <w:name w:val="annotation subject"/>
    <w:basedOn w:val="CommentText"/>
    <w:next w:val="CommentText"/>
    <w:link w:val="CommentSubjectChar"/>
    <w:uiPriority w:val="99"/>
    <w:semiHidden/>
    <w:unhideWhenUsed/>
    <w:rsid w:val="00AD676D"/>
    <w:rPr>
      <w:b/>
      <w:bCs/>
    </w:rPr>
  </w:style>
  <w:style w:type="character" w:customStyle="1" w:styleId="CommentSubjectChar">
    <w:name w:val="Comment Subject Char"/>
    <w:basedOn w:val="CommentTextChar"/>
    <w:link w:val="CommentSubject"/>
    <w:uiPriority w:val="99"/>
    <w:semiHidden/>
    <w:rsid w:val="00AD676D"/>
    <w:rPr>
      <w:b/>
      <w:bCs/>
      <w:sz w:val="20"/>
      <w:szCs w:val="20"/>
    </w:rPr>
  </w:style>
  <w:style w:type="character" w:styleId="Hyperlink">
    <w:name w:val="Hyperlink"/>
    <w:basedOn w:val="DefaultParagraphFont"/>
    <w:uiPriority w:val="99"/>
    <w:unhideWhenUsed/>
    <w:rsid w:val="00AD676D"/>
    <w:rPr>
      <w:color w:val="467886" w:themeColor="hyperlink"/>
      <w:u w:val="single"/>
    </w:rPr>
  </w:style>
  <w:style w:type="character" w:styleId="UnresolvedMention">
    <w:name w:val="Unresolved Mention"/>
    <w:basedOn w:val="DefaultParagraphFont"/>
    <w:uiPriority w:val="99"/>
    <w:semiHidden/>
    <w:unhideWhenUsed/>
    <w:rsid w:val="00AD676D"/>
    <w:rPr>
      <w:color w:val="605E5C"/>
      <w:shd w:val="clear" w:color="auto" w:fill="E1DFDD"/>
    </w:rPr>
  </w:style>
  <w:style w:type="table" w:styleId="TableGrid">
    <w:name w:val="Table Grid"/>
    <w:basedOn w:val="TableNormal"/>
    <w:uiPriority w:val="39"/>
    <w:rsid w:val="00C64503"/>
    <w:pPr>
      <w:spacing w:after="0" w:line="240" w:lineRule="auto"/>
    </w:pPr>
    <w:tblPr/>
  </w:style>
  <w:style w:type="paragraph" w:styleId="NormalWeb">
    <w:name w:val="Normal (Web)"/>
    <w:basedOn w:val="Normal"/>
    <w:uiPriority w:val="99"/>
    <w:semiHidden/>
    <w:unhideWhenUsed/>
    <w:rsid w:val="00E84E83"/>
    <w:pPr>
      <w:spacing w:before="100" w:beforeAutospacing="1" w:after="100" w:afterAutospacing="1" w:line="240" w:lineRule="auto"/>
    </w:pPr>
    <w:rPr>
      <w:rFonts w:ascii="Times New Roman" w:eastAsia="Times New Roman" w:hAnsi="Times New Roman" w:cs="Times New Roman"/>
      <w:kern w:val="0"/>
      <w:lang w:eastAsia="zh-CN"/>
    </w:rPr>
  </w:style>
  <w:style w:type="character" w:styleId="Emphasis">
    <w:name w:val="Emphasis"/>
    <w:basedOn w:val="DefaultParagraphFont"/>
    <w:uiPriority w:val="20"/>
    <w:qFormat/>
    <w:rsid w:val="00E84E83"/>
    <w:rPr>
      <w:i/>
      <w:iCs/>
    </w:rPr>
  </w:style>
  <w:style w:type="character" w:styleId="Strong">
    <w:name w:val="Strong"/>
    <w:basedOn w:val="DefaultParagraphFont"/>
    <w:uiPriority w:val="22"/>
    <w:qFormat/>
    <w:rsid w:val="00E84E83"/>
    <w:rPr>
      <w:b/>
      <w:bCs/>
    </w:rPr>
  </w:style>
  <w:style w:type="character" w:styleId="Mention">
    <w:name w:val="Mention"/>
    <w:basedOn w:val="DefaultParagraphFont"/>
    <w:uiPriority w:val="99"/>
    <w:unhideWhenUsed/>
    <w:rsid w:val="007D6EFE"/>
    <w:rPr>
      <w:color w:val="2B579A"/>
      <w:shd w:val="clear" w:color="auto" w:fill="E1DFDD"/>
    </w:rPr>
  </w:style>
  <w:style w:type="character" w:styleId="FollowedHyperlink">
    <w:name w:val="FollowedHyperlink"/>
    <w:basedOn w:val="DefaultParagraphFont"/>
    <w:uiPriority w:val="99"/>
    <w:semiHidden/>
    <w:unhideWhenUsed/>
    <w:rsid w:val="006E68DE"/>
    <w:rPr>
      <w:color w:val="96607D" w:themeColor="followedHyperlink"/>
      <w:u w:val="single"/>
    </w:rPr>
  </w:style>
  <w:style w:type="table" w:styleId="TableGridLight">
    <w:name w:val="Grid Table Light"/>
    <w:basedOn w:val="TableNormal"/>
    <w:uiPriority w:val="40"/>
    <w:rsid w:val="00FD4D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414F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080160">
      <w:bodyDiv w:val="1"/>
      <w:marLeft w:val="0"/>
      <w:marRight w:val="0"/>
      <w:marTop w:val="0"/>
      <w:marBottom w:val="0"/>
      <w:divBdr>
        <w:top w:val="none" w:sz="0" w:space="0" w:color="auto"/>
        <w:left w:val="none" w:sz="0" w:space="0" w:color="auto"/>
        <w:bottom w:val="none" w:sz="0" w:space="0" w:color="auto"/>
        <w:right w:val="none" w:sz="0" w:space="0" w:color="auto"/>
      </w:divBdr>
    </w:div>
    <w:div w:id="379398087">
      <w:bodyDiv w:val="1"/>
      <w:marLeft w:val="0"/>
      <w:marRight w:val="0"/>
      <w:marTop w:val="0"/>
      <w:marBottom w:val="0"/>
      <w:divBdr>
        <w:top w:val="none" w:sz="0" w:space="0" w:color="auto"/>
        <w:left w:val="none" w:sz="0" w:space="0" w:color="auto"/>
        <w:bottom w:val="none" w:sz="0" w:space="0" w:color="auto"/>
        <w:right w:val="none" w:sz="0" w:space="0" w:color="auto"/>
      </w:divBdr>
    </w:div>
    <w:div w:id="479808234">
      <w:bodyDiv w:val="1"/>
      <w:marLeft w:val="0"/>
      <w:marRight w:val="0"/>
      <w:marTop w:val="0"/>
      <w:marBottom w:val="0"/>
      <w:divBdr>
        <w:top w:val="none" w:sz="0" w:space="0" w:color="auto"/>
        <w:left w:val="none" w:sz="0" w:space="0" w:color="auto"/>
        <w:bottom w:val="none" w:sz="0" w:space="0" w:color="auto"/>
        <w:right w:val="none" w:sz="0" w:space="0" w:color="auto"/>
      </w:divBdr>
    </w:div>
    <w:div w:id="590510595">
      <w:bodyDiv w:val="1"/>
      <w:marLeft w:val="0"/>
      <w:marRight w:val="0"/>
      <w:marTop w:val="0"/>
      <w:marBottom w:val="0"/>
      <w:divBdr>
        <w:top w:val="none" w:sz="0" w:space="0" w:color="auto"/>
        <w:left w:val="none" w:sz="0" w:space="0" w:color="auto"/>
        <w:bottom w:val="none" w:sz="0" w:space="0" w:color="auto"/>
        <w:right w:val="none" w:sz="0" w:space="0" w:color="auto"/>
      </w:divBdr>
    </w:div>
    <w:div w:id="675108629">
      <w:bodyDiv w:val="1"/>
      <w:marLeft w:val="0"/>
      <w:marRight w:val="0"/>
      <w:marTop w:val="0"/>
      <w:marBottom w:val="0"/>
      <w:divBdr>
        <w:top w:val="none" w:sz="0" w:space="0" w:color="auto"/>
        <w:left w:val="none" w:sz="0" w:space="0" w:color="auto"/>
        <w:bottom w:val="none" w:sz="0" w:space="0" w:color="auto"/>
        <w:right w:val="none" w:sz="0" w:space="0" w:color="auto"/>
      </w:divBdr>
    </w:div>
    <w:div w:id="921187252">
      <w:bodyDiv w:val="1"/>
      <w:marLeft w:val="0"/>
      <w:marRight w:val="0"/>
      <w:marTop w:val="0"/>
      <w:marBottom w:val="0"/>
      <w:divBdr>
        <w:top w:val="none" w:sz="0" w:space="0" w:color="auto"/>
        <w:left w:val="none" w:sz="0" w:space="0" w:color="auto"/>
        <w:bottom w:val="none" w:sz="0" w:space="0" w:color="auto"/>
        <w:right w:val="none" w:sz="0" w:space="0" w:color="auto"/>
      </w:divBdr>
    </w:div>
    <w:div w:id="1117943481">
      <w:bodyDiv w:val="1"/>
      <w:marLeft w:val="0"/>
      <w:marRight w:val="0"/>
      <w:marTop w:val="0"/>
      <w:marBottom w:val="0"/>
      <w:divBdr>
        <w:top w:val="none" w:sz="0" w:space="0" w:color="auto"/>
        <w:left w:val="none" w:sz="0" w:space="0" w:color="auto"/>
        <w:bottom w:val="none" w:sz="0" w:space="0" w:color="auto"/>
        <w:right w:val="none" w:sz="0" w:space="0" w:color="auto"/>
      </w:divBdr>
    </w:div>
    <w:div w:id="1690259928">
      <w:bodyDiv w:val="1"/>
      <w:marLeft w:val="0"/>
      <w:marRight w:val="0"/>
      <w:marTop w:val="0"/>
      <w:marBottom w:val="0"/>
      <w:divBdr>
        <w:top w:val="none" w:sz="0" w:space="0" w:color="auto"/>
        <w:left w:val="none" w:sz="0" w:space="0" w:color="auto"/>
        <w:bottom w:val="none" w:sz="0" w:space="0" w:color="auto"/>
        <w:right w:val="none" w:sz="0" w:space="0" w:color="auto"/>
      </w:divBdr>
    </w:div>
    <w:div w:id="1748962948">
      <w:bodyDiv w:val="1"/>
      <w:marLeft w:val="0"/>
      <w:marRight w:val="0"/>
      <w:marTop w:val="0"/>
      <w:marBottom w:val="0"/>
      <w:divBdr>
        <w:top w:val="none" w:sz="0" w:space="0" w:color="auto"/>
        <w:left w:val="none" w:sz="0" w:space="0" w:color="auto"/>
        <w:bottom w:val="none" w:sz="0" w:space="0" w:color="auto"/>
        <w:right w:val="none" w:sz="0" w:space="0" w:color="auto"/>
      </w:divBdr>
    </w:div>
    <w:div w:id="1772969435">
      <w:bodyDiv w:val="1"/>
      <w:marLeft w:val="0"/>
      <w:marRight w:val="0"/>
      <w:marTop w:val="0"/>
      <w:marBottom w:val="0"/>
      <w:divBdr>
        <w:top w:val="none" w:sz="0" w:space="0" w:color="auto"/>
        <w:left w:val="none" w:sz="0" w:space="0" w:color="auto"/>
        <w:bottom w:val="none" w:sz="0" w:space="0" w:color="auto"/>
        <w:right w:val="none" w:sz="0" w:space="0" w:color="auto"/>
      </w:divBdr>
    </w:div>
    <w:div w:id="1804038177">
      <w:bodyDiv w:val="1"/>
      <w:marLeft w:val="0"/>
      <w:marRight w:val="0"/>
      <w:marTop w:val="0"/>
      <w:marBottom w:val="0"/>
      <w:divBdr>
        <w:top w:val="none" w:sz="0" w:space="0" w:color="auto"/>
        <w:left w:val="none" w:sz="0" w:space="0" w:color="auto"/>
        <w:bottom w:val="none" w:sz="0" w:space="0" w:color="auto"/>
        <w:right w:val="none" w:sz="0" w:space="0" w:color="auto"/>
      </w:divBdr>
    </w:div>
    <w:div w:id="19145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cdn11.bigcommerce.com/s-l8qlnhq2eh/images/stencil/500x659/products/7252/10923/HI9813-51_720x720__84972.1655907731.jpg?c=2"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egc.com/lighting-conver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annainst.com/pH-EC-TDS-Temperature-Portable-Meter-HI9813-51.html?srsltid=AfmBOorbrTMs1H-qX-_Dd1TtWHAXs4-w3jLExF2LJ9JfcMwLxOgSITcV" TargetMode="External"/><Relationship Id="rId11" Type="http://schemas.openxmlformats.org/officeDocument/2006/relationships/image" Target="https://cdn11.bigcommerce.com/s-0oei9zu/images/stencil/1024x1024/products/316/3737/DLI-400-product__37915.1643217709.jpg?c=2" TargetMode="External"/><Relationship Id="rId5" Type="http://schemas.openxmlformats.org/officeDocument/2006/relationships/image" Target="media/image1.png"/><Relationship Id="rId15" Type="http://schemas.openxmlformats.org/officeDocument/2006/relationships/hyperlink" Target="https://www.onsetcomp.com/products/data-loggers/mx1104"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apogeeinstruments.com/dli-400-par-daily-light-integral-and-photoperiod-meter-sunlight-only-400-700-nm/" TargetMode="External"/><Relationship Id="rId14" Type="http://schemas.openxmlformats.org/officeDocument/2006/relationships/image" Target="https://www.onsetcomp.com/sites/default/files/styles/gallery/public/2024-03/Onset-HOBO-MX1104-Temp_RH-angled.jpg?itok=a63wcq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12</Pages>
  <Words>3017</Words>
  <Characters>17198</Characters>
  <Application>Microsoft Office Word</Application>
  <DocSecurity>0</DocSecurity>
  <Lines>143</Lines>
  <Paragraphs>40</Paragraphs>
  <ScaleCrop>false</ScaleCrop>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Arundathi M.</dc:creator>
  <cp:keywords/>
  <dc:description/>
  <cp:lastModifiedBy>Ying, Qinglu</cp:lastModifiedBy>
  <cp:revision>816</cp:revision>
  <dcterms:created xsi:type="dcterms:W3CDTF">2025-10-01T21:14:00Z</dcterms:created>
  <dcterms:modified xsi:type="dcterms:W3CDTF">2026-01-22T20:45:00Z</dcterms:modified>
</cp:coreProperties>
</file>